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4989D" w14:textId="77777777" w:rsidR="00C85D26" w:rsidRDefault="00CD3DAD">
      <w:r>
        <w:rPr>
          <w:noProof/>
        </w:rPr>
        <mc:AlternateContent>
          <mc:Choice Requires="wps">
            <w:drawing>
              <wp:anchor distT="0" distB="0" distL="114300" distR="114300" simplePos="0" relativeHeight="251657728" behindDoc="0" locked="0" layoutInCell="1" allowOverlap="1" wp14:anchorId="56C5DF6D" wp14:editId="2D895D00">
                <wp:simplePos x="0" y="0"/>
                <wp:positionH relativeFrom="column">
                  <wp:posOffset>2451735</wp:posOffset>
                </wp:positionH>
                <wp:positionV relativeFrom="paragraph">
                  <wp:posOffset>-319414</wp:posOffset>
                </wp:positionV>
                <wp:extent cx="4194888" cy="3179454"/>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888" cy="317945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714A0D3" w14:textId="77777777" w:rsidR="00516E4C" w:rsidRDefault="00516E4C">
                            <w:pPr>
                              <w:jc w:val="right"/>
                              <w:rPr>
                                <w:color w:val="000000"/>
                                <w:sz w:val="18"/>
                              </w:rPr>
                            </w:pPr>
                          </w:p>
                          <w:p w14:paraId="4D6AA3E1" w14:textId="77777777" w:rsidR="00516E4C" w:rsidRDefault="00516E4C">
                            <w:pPr>
                              <w:ind w:left="5040" w:firstLine="720"/>
                            </w:pPr>
                          </w:p>
                          <w:p w14:paraId="08AA46FF" w14:textId="77777777" w:rsidR="005F41BA" w:rsidRDefault="005F41BA" w:rsidP="00861D86">
                            <w:pPr>
                              <w:jc w:val="right"/>
                              <w:rPr>
                                <w:rFonts w:ascii="Helvetica" w:hAnsi="Helvetica"/>
                                <w:b/>
                                <w:sz w:val="18"/>
                              </w:rPr>
                            </w:pPr>
                            <w:r>
                              <w:rPr>
                                <w:rFonts w:ascii="Helvetica" w:hAnsi="Helvetica"/>
                                <w:b/>
                                <w:sz w:val="18"/>
                              </w:rPr>
                              <w:t>BOARD OF DIRECTORS</w:t>
                            </w:r>
                          </w:p>
                          <w:p w14:paraId="07726933" w14:textId="77777777" w:rsidR="005F41BA" w:rsidRPr="00516E4C" w:rsidRDefault="005F41BA" w:rsidP="00861D86">
                            <w:pPr>
                              <w:jc w:val="right"/>
                              <w:rPr>
                                <w:sz w:val="18"/>
                              </w:rPr>
                            </w:pPr>
                            <w:r>
                              <w:rPr>
                                <w:i/>
                                <w:sz w:val="18"/>
                              </w:rPr>
                              <w:tab/>
                            </w:r>
                            <w:r>
                              <w:rPr>
                                <w:i/>
                                <w:sz w:val="18"/>
                              </w:rPr>
                              <w:tab/>
                            </w:r>
                            <w:r>
                              <w:rPr>
                                <w:i/>
                                <w:sz w:val="18"/>
                              </w:rPr>
                              <w:tab/>
                              <w:t xml:space="preserve">*Andre Allen, </w:t>
                            </w:r>
                            <w:r w:rsidRPr="00516E4C">
                              <w:rPr>
                                <w:sz w:val="18"/>
                              </w:rPr>
                              <w:t>General Dynamics Information Technology</w:t>
                            </w:r>
                          </w:p>
                          <w:p w14:paraId="4B3A84B8" w14:textId="77777777" w:rsidR="005F41BA" w:rsidRDefault="005F41BA" w:rsidP="00861D86">
                            <w:pPr>
                              <w:jc w:val="right"/>
                              <w:rPr>
                                <w:sz w:val="18"/>
                              </w:rPr>
                            </w:pPr>
                            <w:r>
                              <w:rPr>
                                <w:i/>
                                <w:sz w:val="18"/>
                              </w:rPr>
                              <w:t>Douglas Becker, Ph.D.,</w:t>
                            </w:r>
                            <w:r>
                              <w:rPr>
                                <w:sz w:val="18"/>
                              </w:rPr>
                              <w:t xml:space="preserve"> HMH Riverside</w:t>
                            </w:r>
                          </w:p>
                          <w:p w14:paraId="1F0273B8" w14:textId="77777777" w:rsidR="005F41BA" w:rsidRDefault="005F41BA" w:rsidP="00861D86">
                            <w:pPr>
                              <w:jc w:val="right"/>
                              <w:rPr>
                                <w:sz w:val="18"/>
                              </w:rPr>
                            </w:pPr>
                            <w:r>
                              <w:rPr>
                                <w:i/>
                                <w:sz w:val="18"/>
                              </w:rPr>
                              <w:t>Nikki</w:t>
                            </w:r>
                            <w:r w:rsidRPr="00516E4C">
                              <w:rPr>
                                <w:i/>
                                <w:sz w:val="18"/>
                              </w:rPr>
                              <w:t xml:space="preserve"> </w:t>
                            </w:r>
                            <w:proofErr w:type="spellStart"/>
                            <w:r w:rsidRPr="00516E4C">
                              <w:rPr>
                                <w:i/>
                                <w:sz w:val="18"/>
                              </w:rPr>
                              <w:t>Eatchel</w:t>
                            </w:r>
                            <w:proofErr w:type="spellEnd"/>
                            <w:r w:rsidRPr="00516E4C">
                              <w:rPr>
                                <w:i/>
                                <w:sz w:val="18"/>
                              </w:rPr>
                              <w:t>,</w:t>
                            </w:r>
                            <w:r>
                              <w:rPr>
                                <w:i/>
                                <w:sz w:val="18"/>
                              </w:rPr>
                              <w:t xml:space="preserve"> Ph.D.</w:t>
                            </w:r>
                            <w:r>
                              <w:rPr>
                                <w:sz w:val="18"/>
                              </w:rPr>
                              <w:t xml:space="preserve"> </w:t>
                            </w:r>
                            <w:proofErr w:type="spellStart"/>
                            <w:r>
                              <w:rPr>
                                <w:sz w:val="18"/>
                              </w:rPr>
                              <w:t>Scantron</w:t>
                            </w:r>
                            <w:proofErr w:type="spellEnd"/>
                          </w:p>
                          <w:p w14:paraId="3C1E0A66" w14:textId="77777777" w:rsidR="005F41BA" w:rsidRPr="00D44FCD" w:rsidRDefault="005F41BA" w:rsidP="00861D86">
                            <w:pPr>
                              <w:jc w:val="right"/>
                              <w:rPr>
                                <w:i/>
                                <w:sz w:val="18"/>
                                <w:szCs w:val="18"/>
                              </w:rPr>
                            </w:pPr>
                            <w:r w:rsidRPr="00D44FCD">
                              <w:rPr>
                                <w:i/>
                                <w:sz w:val="18"/>
                                <w:szCs w:val="18"/>
                              </w:rPr>
                              <w:t xml:space="preserve">Henrik </w:t>
                            </w:r>
                            <w:proofErr w:type="spellStart"/>
                            <w:r w:rsidRPr="00D44FCD">
                              <w:rPr>
                                <w:i/>
                                <w:sz w:val="18"/>
                                <w:szCs w:val="18"/>
                              </w:rPr>
                              <w:t>Skovdahl</w:t>
                            </w:r>
                            <w:proofErr w:type="spellEnd"/>
                            <w:r w:rsidRPr="00D44FCD">
                              <w:rPr>
                                <w:i/>
                                <w:sz w:val="18"/>
                                <w:szCs w:val="18"/>
                              </w:rPr>
                              <w:t xml:space="preserve"> Hansen</w:t>
                            </w:r>
                            <w:r>
                              <w:rPr>
                                <w:i/>
                                <w:sz w:val="18"/>
                                <w:szCs w:val="18"/>
                              </w:rPr>
                              <w:t>, Ph.D.</w:t>
                            </w:r>
                            <w:r w:rsidRPr="00D44FCD">
                              <w:rPr>
                                <w:i/>
                                <w:sz w:val="18"/>
                                <w:szCs w:val="18"/>
                              </w:rPr>
                              <w:t>,</w:t>
                            </w:r>
                            <w:r>
                              <w:rPr>
                                <w:sz w:val="18"/>
                                <w:szCs w:val="18"/>
                              </w:rPr>
                              <w:t xml:space="preserve"> </w:t>
                            </w:r>
                            <w:r w:rsidRPr="00D44FCD">
                              <w:rPr>
                                <w:sz w:val="18"/>
                                <w:szCs w:val="18"/>
                              </w:rPr>
                              <w:t xml:space="preserve">Dansk </w:t>
                            </w:r>
                            <w:proofErr w:type="spellStart"/>
                            <w:r w:rsidRPr="00D44FCD">
                              <w:rPr>
                                <w:sz w:val="18"/>
                                <w:szCs w:val="18"/>
                              </w:rPr>
                              <w:t>Psykologisk</w:t>
                            </w:r>
                            <w:proofErr w:type="spellEnd"/>
                            <w:r w:rsidRPr="00D44FCD">
                              <w:rPr>
                                <w:sz w:val="18"/>
                                <w:szCs w:val="18"/>
                              </w:rPr>
                              <w:t xml:space="preserve"> </w:t>
                            </w:r>
                            <w:proofErr w:type="spellStart"/>
                            <w:r w:rsidRPr="00D44FCD">
                              <w:rPr>
                                <w:sz w:val="18"/>
                                <w:szCs w:val="18"/>
                              </w:rPr>
                              <w:t>Forlag</w:t>
                            </w:r>
                            <w:proofErr w:type="spellEnd"/>
                            <w:r w:rsidRPr="00D44FCD">
                              <w:rPr>
                                <w:i/>
                                <w:sz w:val="18"/>
                                <w:szCs w:val="18"/>
                              </w:rPr>
                              <w:t xml:space="preserve"> </w:t>
                            </w:r>
                          </w:p>
                          <w:p w14:paraId="6781B981" w14:textId="77777777" w:rsidR="005F41BA" w:rsidRDefault="005F41BA" w:rsidP="00861D86">
                            <w:pPr>
                              <w:jc w:val="right"/>
                              <w:rPr>
                                <w:sz w:val="18"/>
                              </w:rPr>
                            </w:pPr>
                            <w:r>
                              <w:rPr>
                                <w:i/>
                                <w:sz w:val="18"/>
                              </w:rPr>
                              <w:t xml:space="preserve">Christine </w:t>
                            </w:r>
                            <w:proofErr w:type="spellStart"/>
                            <w:r>
                              <w:rPr>
                                <w:i/>
                                <w:sz w:val="18"/>
                              </w:rPr>
                              <w:t>Niero</w:t>
                            </w:r>
                            <w:proofErr w:type="spellEnd"/>
                            <w:r>
                              <w:rPr>
                                <w:i/>
                                <w:sz w:val="18"/>
                              </w:rPr>
                              <w:t>, Ph.D</w:t>
                            </w:r>
                            <w:r w:rsidRPr="004C2156">
                              <w:rPr>
                                <w:sz w:val="18"/>
                              </w:rPr>
                              <w:t>., Professional Testing</w:t>
                            </w:r>
                          </w:p>
                          <w:p w14:paraId="76B66A85" w14:textId="77777777" w:rsidR="005F41BA" w:rsidRDefault="005F41BA" w:rsidP="00861D86">
                            <w:pPr>
                              <w:jc w:val="right"/>
                              <w:rPr>
                                <w:sz w:val="18"/>
                              </w:rPr>
                            </w:pPr>
                            <w:r>
                              <w:rPr>
                                <w:i/>
                                <w:sz w:val="18"/>
                              </w:rPr>
                              <w:t xml:space="preserve">John Oswald, </w:t>
                            </w:r>
                            <w:r w:rsidRPr="00516E4C">
                              <w:rPr>
                                <w:sz w:val="18"/>
                              </w:rPr>
                              <w:t>ETS</w:t>
                            </w:r>
                          </w:p>
                          <w:p w14:paraId="4F21564B" w14:textId="77777777" w:rsidR="005F41BA" w:rsidRPr="002327BA" w:rsidRDefault="005F41BA" w:rsidP="00861D86">
                            <w:pPr>
                              <w:jc w:val="right"/>
                              <w:rPr>
                                <w:i/>
                                <w:sz w:val="18"/>
                              </w:rPr>
                            </w:pPr>
                            <w:r w:rsidRPr="0084249B">
                              <w:rPr>
                                <w:i/>
                                <w:sz w:val="18"/>
                              </w:rPr>
                              <w:t xml:space="preserve">Dan </w:t>
                            </w:r>
                            <w:proofErr w:type="spellStart"/>
                            <w:r w:rsidRPr="0084249B">
                              <w:rPr>
                                <w:i/>
                                <w:sz w:val="18"/>
                              </w:rPr>
                              <w:t>Rinn</w:t>
                            </w:r>
                            <w:proofErr w:type="spellEnd"/>
                            <w:r w:rsidRPr="0084249B">
                              <w:rPr>
                                <w:i/>
                                <w:sz w:val="18"/>
                              </w:rPr>
                              <w:t>,</w:t>
                            </w:r>
                            <w:r>
                              <w:rPr>
                                <w:sz w:val="18"/>
                              </w:rPr>
                              <w:t xml:space="preserve"> National Technology Transfer</w:t>
                            </w:r>
                          </w:p>
                          <w:p w14:paraId="4CF85D54" w14:textId="77777777" w:rsidR="005F41BA" w:rsidRDefault="005F41BA" w:rsidP="00861D86">
                            <w:pPr>
                              <w:jc w:val="right"/>
                              <w:rPr>
                                <w:sz w:val="18"/>
                              </w:rPr>
                            </w:pPr>
                            <w:r w:rsidRPr="005B0464">
                              <w:rPr>
                                <w:i/>
                                <w:sz w:val="18"/>
                              </w:rPr>
                              <w:t xml:space="preserve">Rachel </w:t>
                            </w:r>
                            <w:proofErr w:type="spellStart"/>
                            <w:r w:rsidRPr="005B0464">
                              <w:rPr>
                                <w:i/>
                                <w:sz w:val="18"/>
                              </w:rPr>
                              <w:t>Schoenig</w:t>
                            </w:r>
                            <w:proofErr w:type="spellEnd"/>
                            <w:r>
                              <w:rPr>
                                <w:sz w:val="18"/>
                              </w:rPr>
                              <w:t>, ACT</w:t>
                            </w:r>
                          </w:p>
                          <w:p w14:paraId="6F213070" w14:textId="77777777" w:rsidR="005F41BA" w:rsidRDefault="005F41BA" w:rsidP="00861D86">
                            <w:pPr>
                              <w:jc w:val="right"/>
                              <w:rPr>
                                <w:sz w:val="18"/>
                              </w:rPr>
                            </w:pPr>
                            <w:proofErr w:type="spellStart"/>
                            <w:r w:rsidRPr="008F5A2D">
                              <w:rPr>
                                <w:i/>
                                <w:sz w:val="18"/>
                              </w:rPr>
                              <w:t>Cicek</w:t>
                            </w:r>
                            <w:proofErr w:type="spellEnd"/>
                            <w:r w:rsidRPr="008F5A2D">
                              <w:rPr>
                                <w:i/>
                                <w:sz w:val="18"/>
                              </w:rPr>
                              <w:t xml:space="preserve"> </w:t>
                            </w:r>
                            <w:proofErr w:type="spellStart"/>
                            <w:r w:rsidRPr="008F5A2D">
                              <w:rPr>
                                <w:i/>
                                <w:sz w:val="18"/>
                              </w:rPr>
                              <w:t>Svensson</w:t>
                            </w:r>
                            <w:proofErr w:type="spellEnd"/>
                            <w:r w:rsidRPr="008F5A2D">
                              <w:rPr>
                                <w:i/>
                                <w:sz w:val="18"/>
                              </w:rPr>
                              <w:t>,</w:t>
                            </w:r>
                            <w:r>
                              <w:rPr>
                                <w:sz w:val="18"/>
                              </w:rPr>
                              <w:t xml:space="preserve"> </w:t>
                            </w:r>
                            <w:proofErr w:type="spellStart"/>
                            <w:r>
                              <w:rPr>
                                <w:sz w:val="18"/>
                              </w:rPr>
                              <w:t>Cicek</w:t>
                            </w:r>
                            <w:proofErr w:type="spellEnd"/>
                            <w:r>
                              <w:rPr>
                                <w:sz w:val="18"/>
                              </w:rPr>
                              <w:t xml:space="preserve"> </w:t>
                            </w:r>
                            <w:proofErr w:type="spellStart"/>
                            <w:r>
                              <w:rPr>
                                <w:sz w:val="18"/>
                              </w:rPr>
                              <w:t>Svensson</w:t>
                            </w:r>
                            <w:proofErr w:type="spellEnd"/>
                            <w:r>
                              <w:rPr>
                                <w:sz w:val="18"/>
                              </w:rPr>
                              <w:t xml:space="preserve"> Consulting</w:t>
                            </w:r>
                          </w:p>
                          <w:p w14:paraId="674C191E" w14:textId="77777777" w:rsidR="005F41BA" w:rsidRDefault="005F41BA" w:rsidP="00861D86">
                            <w:pPr>
                              <w:jc w:val="right"/>
                              <w:rPr>
                                <w:sz w:val="18"/>
                              </w:rPr>
                            </w:pPr>
                            <w:r w:rsidRPr="008F5A2D">
                              <w:rPr>
                                <w:i/>
                                <w:sz w:val="18"/>
                              </w:rPr>
                              <w:t>Alex Tong,</w:t>
                            </w:r>
                            <w:r>
                              <w:rPr>
                                <w:sz w:val="18"/>
                              </w:rPr>
                              <w:t xml:space="preserve"> ATA</w:t>
                            </w:r>
                          </w:p>
                          <w:p w14:paraId="6D6C8B68" w14:textId="77777777" w:rsidR="005F41BA" w:rsidRDefault="005F41BA" w:rsidP="00861D86">
                            <w:pPr>
                              <w:jc w:val="right"/>
                              <w:rPr>
                                <w:i/>
                                <w:sz w:val="18"/>
                              </w:rPr>
                            </w:pPr>
                            <w:r w:rsidRPr="002327BA">
                              <w:rPr>
                                <w:i/>
                                <w:sz w:val="18"/>
                              </w:rPr>
                              <w:t xml:space="preserve">Timothy </w:t>
                            </w:r>
                            <w:proofErr w:type="spellStart"/>
                            <w:r w:rsidRPr="002327BA">
                              <w:rPr>
                                <w:i/>
                                <w:sz w:val="18"/>
                              </w:rPr>
                              <w:t>VanSickle</w:t>
                            </w:r>
                            <w:proofErr w:type="spellEnd"/>
                            <w:r>
                              <w:rPr>
                                <w:sz w:val="18"/>
                              </w:rPr>
                              <w:t xml:space="preserve">, </w:t>
                            </w:r>
                            <w:proofErr w:type="spellStart"/>
                            <w:r>
                              <w:rPr>
                                <w:sz w:val="18"/>
                              </w:rPr>
                              <w:t>Questar</w:t>
                            </w:r>
                            <w:proofErr w:type="spellEnd"/>
                          </w:p>
                          <w:p w14:paraId="782D0A1E" w14:textId="3B2C13E6" w:rsidR="005F41BA" w:rsidRDefault="005F41BA" w:rsidP="00861D86">
                            <w:pPr>
                              <w:jc w:val="right"/>
                              <w:rPr>
                                <w:i/>
                                <w:sz w:val="18"/>
                              </w:rPr>
                            </w:pPr>
                            <w:r>
                              <w:rPr>
                                <w:i/>
                                <w:sz w:val="18"/>
                              </w:rPr>
                              <w:t>John Weiner</w:t>
                            </w:r>
                            <w:r>
                              <w:rPr>
                                <w:sz w:val="18"/>
                              </w:rPr>
                              <w:t>, PSI Services LLC</w:t>
                            </w:r>
                          </w:p>
                          <w:p w14:paraId="72EA0C1E" w14:textId="77777777" w:rsidR="005F41BA" w:rsidRDefault="005F41BA" w:rsidP="00861D86">
                            <w:pPr>
                              <w:jc w:val="right"/>
                              <w:rPr>
                                <w:sz w:val="18"/>
                              </w:rPr>
                            </w:pPr>
                            <w:r w:rsidRPr="004C2156">
                              <w:rPr>
                                <w:i/>
                                <w:sz w:val="18"/>
                              </w:rPr>
                              <w:t>Bill West,</w:t>
                            </w:r>
                            <w:r>
                              <w:rPr>
                                <w:sz w:val="18"/>
                              </w:rPr>
                              <w:t xml:space="preserve"> Pearson VUE</w:t>
                            </w:r>
                          </w:p>
                          <w:p w14:paraId="17DFD868" w14:textId="77777777" w:rsidR="005F41BA" w:rsidRDefault="005F41BA" w:rsidP="00861D86">
                            <w:pPr>
                              <w:jc w:val="right"/>
                              <w:rPr>
                                <w:sz w:val="18"/>
                              </w:rPr>
                            </w:pPr>
                            <w:r>
                              <w:rPr>
                                <w:sz w:val="18"/>
                              </w:rPr>
                              <w:t>*Chair</w:t>
                            </w:r>
                          </w:p>
                          <w:p w14:paraId="017DCADA" w14:textId="77777777" w:rsidR="005F41BA" w:rsidRDefault="005F41BA" w:rsidP="00861D86">
                            <w:pPr>
                              <w:jc w:val="right"/>
                              <w:rPr>
                                <w:sz w:val="18"/>
                              </w:rPr>
                            </w:pPr>
                            <w:r>
                              <w:rPr>
                                <w:sz w:val="18"/>
                              </w:rPr>
                              <w:t>________________________________________</w:t>
                            </w:r>
                          </w:p>
                          <w:p w14:paraId="51DBC218" w14:textId="77777777" w:rsidR="005F41BA" w:rsidRDefault="005F41BA" w:rsidP="00861D86">
                            <w:pPr>
                              <w:jc w:val="right"/>
                              <w:rPr>
                                <w:i/>
                                <w:sz w:val="18"/>
                              </w:rPr>
                            </w:pPr>
                            <w:r>
                              <w:rPr>
                                <w:b/>
                                <w:sz w:val="18"/>
                              </w:rPr>
                              <w:t xml:space="preserve">Chief Executive Officer: </w:t>
                            </w:r>
                            <w:r>
                              <w:rPr>
                                <w:i/>
                                <w:sz w:val="18"/>
                              </w:rPr>
                              <w:t>William G. Harris, Ph.D.</w:t>
                            </w:r>
                          </w:p>
                          <w:p w14:paraId="76B1F5B2" w14:textId="77777777" w:rsidR="005F41BA" w:rsidRDefault="005F41BA" w:rsidP="00861D86">
                            <w:pPr>
                              <w:jc w:val="right"/>
                              <w:rPr>
                                <w:sz w:val="18"/>
                              </w:rPr>
                            </w:pPr>
                            <w:r>
                              <w:rPr>
                                <w:b/>
                                <w:sz w:val="18"/>
                              </w:rPr>
                              <w:t>General Counsel:</w:t>
                            </w:r>
                            <w:r>
                              <w:rPr>
                                <w:sz w:val="18"/>
                              </w:rPr>
                              <w:t xml:space="preserve"> </w:t>
                            </w:r>
                            <w:r>
                              <w:rPr>
                                <w:i/>
                                <w:sz w:val="18"/>
                              </w:rPr>
                              <w:t>David Arnold, Ph.D., J.D.,</w:t>
                            </w:r>
                            <w:r>
                              <w:rPr>
                                <w:sz w:val="18"/>
                              </w:rPr>
                              <w:t xml:space="preserve"> </w:t>
                            </w:r>
                            <w:proofErr w:type="spellStart"/>
                            <w:r>
                              <w:rPr>
                                <w:sz w:val="18"/>
                              </w:rPr>
                              <w:t>Wonderlic</w:t>
                            </w:r>
                            <w:proofErr w:type="spellEnd"/>
                            <w:r>
                              <w:rPr>
                                <w:sz w:val="18"/>
                              </w:rPr>
                              <w:t>, Inc.</w:t>
                            </w:r>
                          </w:p>
                          <w:p w14:paraId="242BB74F" w14:textId="77777777" w:rsidR="005F41BA" w:rsidRDefault="005F41BA" w:rsidP="00861D86">
                            <w:pPr>
                              <w:jc w:val="right"/>
                              <w:rPr>
                                <w:sz w:val="18"/>
                              </w:rPr>
                            </w:pPr>
                            <w:r>
                              <w:rPr>
                                <w:b/>
                                <w:sz w:val="18"/>
                              </w:rPr>
                              <w:t>Secretary:</w:t>
                            </w:r>
                            <w:r>
                              <w:rPr>
                                <w:i/>
                                <w:sz w:val="18"/>
                              </w:rPr>
                              <w:t xml:space="preserve"> Gerald </w:t>
                            </w:r>
                            <w:proofErr w:type="spellStart"/>
                            <w:r>
                              <w:rPr>
                                <w:i/>
                                <w:sz w:val="18"/>
                              </w:rPr>
                              <w:t>Borofsky</w:t>
                            </w:r>
                            <w:proofErr w:type="spellEnd"/>
                            <w:r>
                              <w:rPr>
                                <w:i/>
                                <w:sz w:val="18"/>
                              </w:rPr>
                              <w:t>, Ph.D.,</w:t>
                            </w:r>
                            <w:r>
                              <w:rPr>
                                <w:sz w:val="18"/>
                              </w:rPr>
                              <w:t xml:space="preserve"> Bay State Psychological Associates</w:t>
                            </w:r>
                          </w:p>
                          <w:p w14:paraId="2F2D3B4E" w14:textId="3C241F1A" w:rsidR="00516E4C" w:rsidRDefault="005F41BA" w:rsidP="00861D86">
                            <w:pPr>
                              <w:jc w:val="right"/>
                            </w:pPr>
                            <w:r>
                              <w:rPr>
                                <w:b/>
                                <w:sz w:val="18"/>
                              </w:rPr>
                              <w:t xml:space="preserve">                       Treasurer:</w:t>
                            </w:r>
                            <w:r>
                              <w:rPr>
                                <w:i/>
                                <w:sz w:val="18"/>
                              </w:rPr>
                              <w:t xml:space="preserve"> Walter Wang, </w:t>
                            </w:r>
                            <w:proofErr w:type="spellStart"/>
                            <w:r w:rsidRPr="00A439C4">
                              <w:rPr>
                                <w:sz w:val="18"/>
                              </w:rPr>
                              <w:t>Collegepre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5DF6D" id="_x0000_t202" coordsize="21600,21600" o:spt="202" path="m0,0l0,21600,21600,21600,21600,0xe">
                <v:stroke joinstyle="miter"/>
                <v:path gradientshapeok="t" o:connecttype="rect"/>
              </v:shapetype>
              <v:shape id="Text_x0020_Box_x0020_5" o:spid="_x0000_s1026" type="#_x0000_t202" style="position:absolute;margin-left:193.05pt;margin-top:-25.1pt;width:330.3pt;height:25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" stroked="f">
                <v:textbox>
                  <w:txbxContent>
                    <w:p w14:paraId="5714A0D3" w14:textId="77777777" w:rsidR="00516E4C" w:rsidRDefault="00516E4C">
                      <w:pPr>
                        <w:jc w:val="right"/>
                        <w:rPr>
                          <w:color w:val="000000"/>
                          <w:sz w:val="18"/>
                        </w:rPr>
                      </w:pPr>
                    </w:p>
                    <w:p w14:paraId="4D6AA3E1" w14:textId="77777777" w:rsidR="00516E4C" w:rsidRDefault="00516E4C">
                      <w:pPr>
                        <w:ind w:left="5040" w:firstLine="720"/>
                      </w:pPr>
                    </w:p>
                    <w:p w14:paraId="08AA46FF" w14:textId="77777777" w:rsidR="005F41BA" w:rsidRDefault="005F41BA" w:rsidP="00861D86">
                      <w:pPr>
                        <w:jc w:val="right"/>
                        <w:rPr>
                          <w:rFonts w:ascii="Helvetica" w:hAnsi="Helvetica"/>
                          <w:b/>
                          <w:sz w:val="18"/>
                        </w:rPr>
                      </w:pPr>
                      <w:r>
                        <w:rPr>
                          <w:rFonts w:ascii="Helvetica" w:hAnsi="Helvetica"/>
                          <w:b/>
                          <w:sz w:val="18"/>
                        </w:rPr>
                        <w:t>BOARD OF DIRECTORS</w:t>
                      </w:r>
                    </w:p>
                    <w:p w14:paraId="07726933" w14:textId="77777777" w:rsidR="005F41BA" w:rsidRPr="00516E4C" w:rsidRDefault="005F41BA" w:rsidP="00861D86">
                      <w:pPr>
                        <w:jc w:val="right"/>
                        <w:rPr>
                          <w:sz w:val="18"/>
                        </w:rPr>
                      </w:pPr>
                      <w:r>
                        <w:rPr>
                          <w:i/>
                          <w:sz w:val="18"/>
                        </w:rPr>
                        <w:tab/>
                      </w:r>
                      <w:r>
                        <w:rPr>
                          <w:i/>
                          <w:sz w:val="18"/>
                        </w:rPr>
                        <w:tab/>
                      </w:r>
                      <w:r>
                        <w:rPr>
                          <w:i/>
                          <w:sz w:val="18"/>
                        </w:rPr>
                        <w:tab/>
                        <w:t xml:space="preserve">*Andre Allen, </w:t>
                      </w:r>
                      <w:r w:rsidRPr="00516E4C">
                        <w:rPr>
                          <w:sz w:val="18"/>
                        </w:rPr>
                        <w:t>General Dynamics Information Technology</w:t>
                      </w:r>
                    </w:p>
                    <w:p w14:paraId="4B3A84B8" w14:textId="77777777" w:rsidR="005F41BA" w:rsidRDefault="005F41BA" w:rsidP="00861D86">
                      <w:pPr>
                        <w:jc w:val="right"/>
                        <w:rPr>
                          <w:sz w:val="18"/>
                        </w:rPr>
                      </w:pPr>
                      <w:r>
                        <w:rPr>
                          <w:i/>
                          <w:sz w:val="18"/>
                        </w:rPr>
                        <w:t>Douglas Becker, Ph.D.,</w:t>
                      </w:r>
                      <w:r>
                        <w:rPr>
                          <w:sz w:val="18"/>
                        </w:rPr>
                        <w:t xml:space="preserve"> HMH Riverside</w:t>
                      </w:r>
                    </w:p>
                    <w:p w14:paraId="1F0273B8" w14:textId="77777777" w:rsidR="005F41BA" w:rsidRDefault="005F41BA" w:rsidP="00861D86">
                      <w:pPr>
                        <w:jc w:val="right"/>
                        <w:rPr>
                          <w:sz w:val="18"/>
                        </w:rPr>
                      </w:pPr>
                      <w:r>
                        <w:rPr>
                          <w:i/>
                          <w:sz w:val="18"/>
                        </w:rPr>
                        <w:t>Nikki</w:t>
                      </w:r>
                      <w:r w:rsidRPr="00516E4C">
                        <w:rPr>
                          <w:i/>
                          <w:sz w:val="18"/>
                        </w:rPr>
                        <w:t xml:space="preserve"> Eatchel,</w:t>
                      </w:r>
                      <w:r>
                        <w:rPr>
                          <w:i/>
                          <w:sz w:val="18"/>
                        </w:rPr>
                        <w:t xml:space="preserve"> Ph.D.</w:t>
                      </w:r>
                      <w:r>
                        <w:rPr>
                          <w:sz w:val="18"/>
                        </w:rPr>
                        <w:t xml:space="preserve"> Scantron</w:t>
                      </w:r>
                    </w:p>
                    <w:p w14:paraId="3C1E0A66" w14:textId="77777777" w:rsidR="005F41BA" w:rsidRPr="00D44FCD" w:rsidRDefault="005F41BA" w:rsidP="00861D86">
                      <w:pPr>
                        <w:jc w:val="right"/>
                        <w:rPr>
                          <w:i/>
                          <w:sz w:val="18"/>
                          <w:szCs w:val="18"/>
                        </w:rPr>
                      </w:pPr>
                      <w:r w:rsidRPr="00D44FCD">
                        <w:rPr>
                          <w:i/>
                          <w:sz w:val="18"/>
                          <w:szCs w:val="18"/>
                        </w:rPr>
                        <w:t>Henrik Skovdahl Hansen</w:t>
                      </w:r>
                      <w:r>
                        <w:rPr>
                          <w:i/>
                          <w:sz w:val="18"/>
                          <w:szCs w:val="18"/>
                        </w:rPr>
                        <w:t>, Ph.D.</w:t>
                      </w:r>
                      <w:r w:rsidRPr="00D44FCD">
                        <w:rPr>
                          <w:i/>
                          <w:sz w:val="18"/>
                          <w:szCs w:val="18"/>
                        </w:rPr>
                        <w:t>,</w:t>
                      </w:r>
                      <w:r>
                        <w:rPr>
                          <w:sz w:val="18"/>
                          <w:szCs w:val="18"/>
                        </w:rPr>
                        <w:t xml:space="preserve"> </w:t>
                      </w:r>
                      <w:r w:rsidRPr="00D44FCD">
                        <w:rPr>
                          <w:sz w:val="18"/>
                          <w:szCs w:val="18"/>
                        </w:rPr>
                        <w:t>Dansk Psykologisk Forlag</w:t>
                      </w:r>
                      <w:r w:rsidRPr="00D44FCD">
                        <w:rPr>
                          <w:i/>
                          <w:sz w:val="18"/>
                          <w:szCs w:val="18"/>
                        </w:rPr>
                        <w:t xml:space="preserve"> </w:t>
                      </w:r>
                    </w:p>
                    <w:p w14:paraId="6781B981" w14:textId="77777777" w:rsidR="005F41BA" w:rsidRDefault="005F41BA" w:rsidP="00861D86">
                      <w:pPr>
                        <w:jc w:val="right"/>
                        <w:rPr>
                          <w:sz w:val="18"/>
                        </w:rPr>
                      </w:pPr>
                      <w:r>
                        <w:rPr>
                          <w:i/>
                          <w:sz w:val="18"/>
                        </w:rPr>
                        <w:t>Christine Niero, Ph.D</w:t>
                      </w:r>
                      <w:r w:rsidRPr="004C2156">
                        <w:rPr>
                          <w:sz w:val="18"/>
                        </w:rPr>
                        <w:t>., Professional Testing</w:t>
                      </w:r>
                    </w:p>
                    <w:p w14:paraId="76B66A85" w14:textId="77777777" w:rsidR="005F41BA" w:rsidRDefault="005F41BA" w:rsidP="00861D86">
                      <w:pPr>
                        <w:jc w:val="right"/>
                        <w:rPr>
                          <w:sz w:val="18"/>
                        </w:rPr>
                      </w:pPr>
                      <w:r>
                        <w:rPr>
                          <w:i/>
                          <w:sz w:val="18"/>
                        </w:rPr>
                        <w:t xml:space="preserve">John Oswald, </w:t>
                      </w:r>
                      <w:r w:rsidRPr="00516E4C">
                        <w:rPr>
                          <w:sz w:val="18"/>
                        </w:rPr>
                        <w:t>ETS</w:t>
                      </w:r>
                    </w:p>
                    <w:p w14:paraId="4F21564B" w14:textId="77777777" w:rsidR="005F41BA" w:rsidRPr="002327BA" w:rsidRDefault="005F41BA" w:rsidP="00861D86">
                      <w:pPr>
                        <w:jc w:val="right"/>
                        <w:rPr>
                          <w:i/>
                          <w:sz w:val="18"/>
                        </w:rPr>
                      </w:pPr>
                      <w:r w:rsidRPr="0084249B">
                        <w:rPr>
                          <w:i/>
                          <w:sz w:val="18"/>
                        </w:rPr>
                        <w:t>Dan Rinn,</w:t>
                      </w:r>
                      <w:r>
                        <w:rPr>
                          <w:sz w:val="18"/>
                        </w:rPr>
                        <w:t xml:space="preserve"> National Technology Transfer</w:t>
                      </w:r>
                    </w:p>
                    <w:p w14:paraId="4CF85D54" w14:textId="77777777" w:rsidR="005F41BA" w:rsidRDefault="005F41BA" w:rsidP="00861D86">
                      <w:pPr>
                        <w:jc w:val="right"/>
                        <w:rPr>
                          <w:sz w:val="18"/>
                        </w:rPr>
                      </w:pPr>
                      <w:r w:rsidRPr="005B0464">
                        <w:rPr>
                          <w:i/>
                          <w:sz w:val="18"/>
                        </w:rPr>
                        <w:t>Rachel Schoenig</w:t>
                      </w:r>
                      <w:r>
                        <w:rPr>
                          <w:sz w:val="18"/>
                        </w:rPr>
                        <w:t>, ACT</w:t>
                      </w:r>
                    </w:p>
                    <w:p w14:paraId="6F213070" w14:textId="77777777" w:rsidR="005F41BA" w:rsidRDefault="005F41BA" w:rsidP="00861D86">
                      <w:pPr>
                        <w:jc w:val="right"/>
                        <w:rPr>
                          <w:sz w:val="18"/>
                        </w:rPr>
                      </w:pPr>
                      <w:r w:rsidRPr="008F5A2D">
                        <w:rPr>
                          <w:i/>
                          <w:sz w:val="18"/>
                        </w:rPr>
                        <w:t>Cicek Svensson,</w:t>
                      </w:r>
                      <w:r>
                        <w:rPr>
                          <w:sz w:val="18"/>
                        </w:rPr>
                        <w:t xml:space="preserve"> Cicek Svensson Consulting</w:t>
                      </w:r>
                    </w:p>
                    <w:p w14:paraId="674C191E" w14:textId="77777777" w:rsidR="005F41BA" w:rsidRDefault="005F41BA" w:rsidP="00861D86">
                      <w:pPr>
                        <w:jc w:val="right"/>
                        <w:rPr>
                          <w:sz w:val="18"/>
                        </w:rPr>
                      </w:pPr>
                      <w:r w:rsidRPr="008F5A2D">
                        <w:rPr>
                          <w:i/>
                          <w:sz w:val="18"/>
                        </w:rPr>
                        <w:t>Alex Tong,</w:t>
                      </w:r>
                      <w:r>
                        <w:rPr>
                          <w:sz w:val="18"/>
                        </w:rPr>
                        <w:t xml:space="preserve"> ATA</w:t>
                      </w:r>
                    </w:p>
                    <w:p w14:paraId="6D6C8B68" w14:textId="77777777" w:rsidR="005F41BA" w:rsidRDefault="005F41BA" w:rsidP="00861D86">
                      <w:pPr>
                        <w:jc w:val="right"/>
                        <w:rPr>
                          <w:i/>
                          <w:sz w:val="18"/>
                        </w:rPr>
                      </w:pPr>
                      <w:r w:rsidRPr="002327BA">
                        <w:rPr>
                          <w:i/>
                          <w:sz w:val="18"/>
                        </w:rPr>
                        <w:t>Timothy VanSickle</w:t>
                      </w:r>
                      <w:r>
                        <w:rPr>
                          <w:sz w:val="18"/>
                        </w:rPr>
                        <w:t>, Questar</w:t>
                      </w:r>
                    </w:p>
                    <w:p w14:paraId="782D0A1E" w14:textId="3B2C13E6" w:rsidR="005F41BA" w:rsidRDefault="005F41BA" w:rsidP="00861D86">
                      <w:pPr>
                        <w:jc w:val="right"/>
                        <w:rPr>
                          <w:i/>
                          <w:sz w:val="18"/>
                        </w:rPr>
                      </w:pPr>
                      <w:r>
                        <w:rPr>
                          <w:i/>
                          <w:sz w:val="18"/>
                        </w:rPr>
                        <w:t>John Weiner</w:t>
                      </w:r>
                      <w:bookmarkStart w:id="1" w:name="_GoBack"/>
                      <w:bookmarkEnd w:id="1"/>
                      <w:r>
                        <w:rPr>
                          <w:sz w:val="18"/>
                        </w:rPr>
                        <w:t>, PSI Services LLC</w:t>
                      </w:r>
                    </w:p>
                    <w:p w14:paraId="72EA0C1E" w14:textId="77777777" w:rsidR="005F41BA" w:rsidRDefault="005F41BA" w:rsidP="00861D86">
                      <w:pPr>
                        <w:jc w:val="right"/>
                        <w:rPr>
                          <w:sz w:val="18"/>
                        </w:rPr>
                      </w:pPr>
                      <w:r w:rsidRPr="004C2156">
                        <w:rPr>
                          <w:i/>
                          <w:sz w:val="18"/>
                        </w:rPr>
                        <w:t>Bill West,</w:t>
                      </w:r>
                      <w:r>
                        <w:rPr>
                          <w:sz w:val="18"/>
                        </w:rPr>
                        <w:t xml:space="preserve"> Pearson VUE</w:t>
                      </w:r>
                    </w:p>
                    <w:p w14:paraId="17DFD868" w14:textId="77777777" w:rsidR="005F41BA" w:rsidRDefault="005F41BA" w:rsidP="00861D86">
                      <w:pPr>
                        <w:jc w:val="right"/>
                        <w:rPr>
                          <w:sz w:val="18"/>
                        </w:rPr>
                      </w:pPr>
                      <w:r>
                        <w:rPr>
                          <w:sz w:val="18"/>
                        </w:rPr>
                        <w:t>*Chair</w:t>
                      </w:r>
                    </w:p>
                    <w:p w14:paraId="017DCADA" w14:textId="77777777" w:rsidR="005F41BA" w:rsidRDefault="005F41BA" w:rsidP="00861D86">
                      <w:pPr>
                        <w:jc w:val="right"/>
                        <w:rPr>
                          <w:sz w:val="18"/>
                        </w:rPr>
                      </w:pPr>
                      <w:r>
                        <w:rPr>
                          <w:sz w:val="18"/>
                        </w:rPr>
                        <w:t>________________________________________</w:t>
                      </w:r>
                    </w:p>
                    <w:p w14:paraId="51DBC218" w14:textId="77777777" w:rsidR="005F41BA" w:rsidRDefault="005F41BA" w:rsidP="00861D86">
                      <w:pPr>
                        <w:jc w:val="right"/>
                        <w:rPr>
                          <w:i/>
                          <w:sz w:val="18"/>
                        </w:rPr>
                      </w:pPr>
                      <w:r>
                        <w:rPr>
                          <w:b/>
                          <w:sz w:val="18"/>
                        </w:rPr>
                        <w:t xml:space="preserve">Chief Executive Officer: </w:t>
                      </w:r>
                      <w:r>
                        <w:rPr>
                          <w:i/>
                          <w:sz w:val="18"/>
                        </w:rPr>
                        <w:t>William G. Harris, Ph.D.</w:t>
                      </w:r>
                    </w:p>
                    <w:p w14:paraId="76B1F5B2" w14:textId="77777777" w:rsidR="005F41BA" w:rsidRDefault="005F41BA" w:rsidP="00861D86">
                      <w:pPr>
                        <w:jc w:val="right"/>
                        <w:rPr>
                          <w:sz w:val="18"/>
                        </w:rPr>
                      </w:pPr>
                      <w:r>
                        <w:rPr>
                          <w:b/>
                          <w:sz w:val="18"/>
                        </w:rPr>
                        <w:t>General Counsel:</w:t>
                      </w:r>
                      <w:r>
                        <w:rPr>
                          <w:sz w:val="18"/>
                        </w:rPr>
                        <w:t xml:space="preserve"> </w:t>
                      </w:r>
                      <w:r>
                        <w:rPr>
                          <w:i/>
                          <w:sz w:val="18"/>
                        </w:rPr>
                        <w:t>David Arnold, Ph.D., J.D.,</w:t>
                      </w:r>
                      <w:r>
                        <w:rPr>
                          <w:sz w:val="18"/>
                        </w:rPr>
                        <w:t xml:space="preserve"> Wonderlic, Inc.</w:t>
                      </w:r>
                    </w:p>
                    <w:p w14:paraId="242BB74F" w14:textId="77777777" w:rsidR="005F41BA" w:rsidRDefault="005F41BA" w:rsidP="00861D86">
                      <w:pPr>
                        <w:jc w:val="right"/>
                        <w:rPr>
                          <w:sz w:val="18"/>
                        </w:rPr>
                      </w:pPr>
                      <w:r>
                        <w:rPr>
                          <w:b/>
                          <w:sz w:val="18"/>
                        </w:rPr>
                        <w:t>Secretary:</w:t>
                      </w:r>
                      <w:r>
                        <w:rPr>
                          <w:i/>
                          <w:sz w:val="18"/>
                        </w:rPr>
                        <w:t xml:space="preserve"> Gerald Borofsky, Ph.D.,</w:t>
                      </w:r>
                      <w:r>
                        <w:rPr>
                          <w:sz w:val="18"/>
                        </w:rPr>
                        <w:t xml:space="preserve"> Bay State Psychological Associates</w:t>
                      </w:r>
                    </w:p>
                    <w:p w14:paraId="2F2D3B4E" w14:textId="3C241F1A" w:rsidR="00516E4C" w:rsidRDefault="005F41BA" w:rsidP="00861D86">
                      <w:pPr>
                        <w:jc w:val="right"/>
                      </w:pPr>
                      <w:r>
                        <w:rPr>
                          <w:b/>
                          <w:sz w:val="18"/>
                        </w:rPr>
                        <w:t xml:space="preserve">                       Treasurer:</w:t>
                      </w:r>
                      <w:r>
                        <w:rPr>
                          <w:i/>
                          <w:sz w:val="18"/>
                        </w:rPr>
                        <w:t xml:space="preserve"> Walter Wang, </w:t>
                      </w:r>
                      <w:r w:rsidRPr="00A439C4">
                        <w:rPr>
                          <w:sz w:val="18"/>
                        </w:rPr>
                        <w:t>Collegepre</w:t>
                      </w:r>
                    </w:p>
                  </w:txbxContent>
                </v:textbox>
              </v:shape>
            </w:pict>
          </mc:Fallback>
        </mc:AlternateContent>
      </w:r>
      <w:r w:rsidR="00175BCC">
        <w:rPr>
          <w:noProof/>
        </w:rPr>
        <w:drawing>
          <wp:inline distT="0" distB="0" distL="0" distR="0" wp14:anchorId="60CDAE93" wp14:editId="29ADC52D">
            <wp:extent cx="1700159" cy="193937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03036" cy="1942659"/>
                    </a:xfrm>
                    <a:prstGeom prst="rect">
                      <a:avLst/>
                    </a:prstGeom>
                    <a:noFill/>
                    <a:ln w="9525">
                      <a:noFill/>
                      <a:miter lim="800000"/>
                      <a:headEnd/>
                      <a:tailEnd/>
                    </a:ln>
                  </pic:spPr>
                </pic:pic>
              </a:graphicData>
            </a:graphic>
          </wp:inline>
        </w:drawing>
      </w:r>
    </w:p>
    <w:p w14:paraId="44EF791B" w14:textId="77777777" w:rsidR="00C85D26" w:rsidRDefault="00175BCC">
      <w:r>
        <w:rPr>
          <w:noProof/>
        </w:rPr>
        <w:drawing>
          <wp:inline distT="0" distB="0" distL="0" distR="0" wp14:anchorId="53D60568" wp14:editId="5A2D25A8">
            <wp:extent cx="1626583" cy="4933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79920" cy="509549"/>
                    </a:xfrm>
                    <a:prstGeom prst="rect">
                      <a:avLst/>
                    </a:prstGeom>
                    <a:noFill/>
                    <a:ln w="9525">
                      <a:noFill/>
                      <a:miter lim="800000"/>
                      <a:headEnd/>
                      <a:tailEnd/>
                    </a:ln>
                  </pic:spPr>
                </pic:pic>
              </a:graphicData>
            </a:graphic>
          </wp:inline>
        </w:drawing>
      </w:r>
    </w:p>
    <w:p w14:paraId="3205D1E2" w14:textId="77777777" w:rsidR="00C85D26" w:rsidRDefault="00DC1BD4">
      <w:r>
        <w:tab/>
      </w:r>
      <w:r>
        <w:tab/>
      </w:r>
      <w:r>
        <w:tab/>
      </w:r>
      <w:r>
        <w:tab/>
      </w:r>
      <w:r>
        <w:tab/>
      </w:r>
      <w:r>
        <w:tab/>
      </w:r>
      <w:r>
        <w:tab/>
      </w:r>
    </w:p>
    <w:p w14:paraId="2451931C" w14:textId="77777777" w:rsidR="004C2156" w:rsidRDefault="00DC1BD4">
      <w:r>
        <w:tab/>
      </w:r>
      <w:r>
        <w:tab/>
      </w:r>
      <w:r>
        <w:tab/>
      </w:r>
      <w:r>
        <w:tab/>
      </w:r>
      <w:r>
        <w:tab/>
      </w:r>
      <w:r>
        <w:tab/>
      </w:r>
      <w:r>
        <w:tab/>
      </w:r>
      <w:r>
        <w:tab/>
      </w:r>
      <w:r>
        <w:tab/>
      </w:r>
      <w:r>
        <w:tab/>
      </w:r>
    </w:p>
    <w:p w14:paraId="04E1313D" w14:textId="77777777" w:rsidR="00C6508A" w:rsidRDefault="004C2156" w:rsidP="00C6508A">
      <w:pPr>
        <w:rPr>
          <w:rFonts w:ascii="Times New Roman" w:hAnsi="Times New Roman"/>
          <w:sz w:val="22"/>
          <w:szCs w:val="22"/>
        </w:rPr>
      </w:pPr>
      <w:r>
        <w:tab/>
      </w:r>
      <w:r>
        <w:tab/>
      </w:r>
      <w:r>
        <w:tab/>
      </w:r>
      <w:r w:rsidR="00E123A2">
        <w:tab/>
      </w:r>
      <w:r w:rsidR="00E123A2">
        <w:tab/>
      </w:r>
      <w:r w:rsidR="00E123A2">
        <w:tab/>
      </w:r>
      <w:r w:rsidR="00E123A2">
        <w:tab/>
      </w:r>
      <w:r w:rsidR="00E123A2">
        <w:tab/>
      </w:r>
      <w:r w:rsidR="00E123A2" w:rsidRPr="00C6508A">
        <w:rPr>
          <w:rFonts w:ascii="Times New Roman" w:hAnsi="Times New Roman"/>
          <w:sz w:val="22"/>
          <w:szCs w:val="22"/>
        </w:rPr>
        <w:tab/>
      </w:r>
    </w:p>
    <w:p w14:paraId="478FDB98" w14:textId="4E2AAE3A" w:rsidR="00C6508A" w:rsidRPr="00C6508A" w:rsidRDefault="00C6508A" w:rsidP="00C6508A">
      <w:pPr>
        <w:ind w:left="5040" w:firstLine="720"/>
        <w:rPr>
          <w:rFonts w:ascii="Times New Roman" w:hAnsi="Times New Roman"/>
          <w:sz w:val="22"/>
          <w:szCs w:val="22"/>
        </w:rPr>
      </w:pPr>
      <w:r w:rsidRPr="00C6508A">
        <w:rPr>
          <w:rFonts w:ascii="Times New Roman" w:hAnsi="Times New Roman"/>
          <w:sz w:val="22"/>
          <w:szCs w:val="22"/>
        </w:rPr>
        <w:t>February 15, 2016</w:t>
      </w:r>
    </w:p>
    <w:p w14:paraId="6AE4205B" w14:textId="77777777" w:rsidR="00C6508A" w:rsidRPr="00C6508A" w:rsidRDefault="00C6508A" w:rsidP="00C6508A">
      <w:pPr>
        <w:rPr>
          <w:rFonts w:ascii="Times New Roman" w:hAnsi="Times New Roman"/>
          <w:sz w:val="22"/>
          <w:szCs w:val="22"/>
        </w:rPr>
      </w:pPr>
    </w:p>
    <w:p w14:paraId="74E84230" w14:textId="77777777" w:rsidR="00C6508A" w:rsidRPr="00C6508A" w:rsidRDefault="00C6508A" w:rsidP="00C6508A">
      <w:pPr>
        <w:rPr>
          <w:rFonts w:ascii="Times New Roman" w:hAnsi="Times New Roman"/>
          <w:sz w:val="22"/>
          <w:szCs w:val="22"/>
        </w:rPr>
      </w:pPr>
      <w:r w:rsidRPr="00C6508A">
        <w:rPr>
          <w:rFonts w:ascii="Times New Roman" w:hAnsi="Times New Roman"/>
          <w:sz w:val="22"/>
          <w:szCs w:val="22"/>
        </w:rPr>
        <w:t>Mary</w:t>
      </w:r>
      <w:r w:rsidRPr="00C6508A">
        <w:rPr>
          <w:rFonts w:ascii="Times New Roman" w:hAnsi="Times New Roman"/>
          <w:color w:val="000000"/>
          <w:sz w:val="22"/>
          <w:szCs w:val="22"/>
        </w:rPr>
        <w:t xml:space="preserve"> G. </w:t>
      </w:r>
      <w:proofErr w:type="spellStart"/>
      <w:r w:rsidRPr="00C6508A">
        <w:rPr>
          <w:rFonts w:ascii="Times New Roman" w:hAnsi="Times New Roman"/>
          <w:color w:val="000000"/>
          <w:sz w:val="22"/>
          <w:szCs w:val="22"/>
        </w:rPr>
        <w:t>Hardiman</w:t>
      </w:r>
      <w:proofErr w:type="spellEnd"/>
      <w:r w:rsidRPr="00C6508A">
        <w:rPr>
          <w:rFonts w:ascii="Times New Roman" w:hAnsi="Times New Roman"/>
          <w:color w:val="000000"/>
          <w:sz w:val="22"/>
          <w:szCs w:val="22"/>
        </w:rPr>
        <w:t>, MS, Director of Board Operations</w:t>
      </w:r>
      <w:r w:rsidRPr="00C6508A">
        <w:rPr>
          <w:rFonts w:ascii="Times New Roman" w:hAnsi="Times New Roman"/>
          <w:color w:val="000000"/>
          <w:sz w:val="22"/>
          <w:szCs w:val="22"/>
        </w:rPr>
        <w:br/>
        <w:t>Governance Operations Department</w:t>
      </w:r>
      <w:r w:rsidRPr="00C6508A">
        <w:rPr>
          <w:rFonts w:ascii="Times New Roman" w:hAnsi="Times New Roman"/>
          <w:color w:val="000000"/>
          <w:sz w:val="22"/>
          <w:szCs w:val="22"/>
        </w:rPr>
        <w:br/>
        <w:t>Practice Directorate</w:t>
      </w:r>
      <w:r w:rsidRPr="00C6508A">
        <w:rPr>
          <w:rFonts w:ascii="Times New Roman" w:hAnsi="Times New Roman"/>
          <w:color w:val="000000"/>
          <w:sz w:val="22"/>
          <w:szCs w:val="22"/>
        </w:rPr>
        <w:br/>
        <w:t>American Psychological Association</w:t>
      </w:r>
      <w:r w:rsidRPr="00C6508A">
        <w:rPr>
          <w:rFonts w:ascii="Times New Roman" w:hAnsi="Times New Roman"/>
          <w:color w:val="000000"/>
          <w:sz w:val="22"/>
          <w:szCs w:val="22"/>
        </w:rPr>
        <w:br/>
        <w:t>750 First Street NE, Washington, DC 20002-424</w:t>
      </w:r>
    </w:p>
    <w:p w14:paraId="4CBA3C4B" w14:textId="77777777" w:rsidR="00C6508A" w:rsidRPr="00C6508A" w:rsidRDefault="00C6508A" w:rsidP="00C6508A">
      <w:pPr>
        <w:ind w:left="1170" w:hanging="450"/>
        <w:rPr>
          <w:rFonts w:ascii="Times New Roman" w:hAnsi="Times New Roman"/>
          <w:sz w:val="22"/>
          <w:szCs w:val="22"/>
        </w:rPr>
      </w:pPr>
    </w:p>
    <w:p w14:paraId="0D4021D4" w14:textId="29D6CE79" w:rsidR="00C6508A" w:rsidRPr="00C6508A" w:rsidRDefault="00C6508A" w:rsidP="00C6508A">
      <w:pPr>
        <w:ind w:left="1170" w:hanging="450"/>
        <w:rPr>
          <w:rFonts w:ascii="Times New Roman" w:hAnsi="Times New Roman"/>
          <w:sz w:val="22"/>
          <w:szCs w:val="22"/>
        </w:rPr>
      </w:pPr>
      <w:r w:rsidRPr="00C6508A">
        <w:rPr>
          <w:rFonts w:ascii="Times New Roman" w:hAnsi="Times New Roman"/>
          <w:sz w:val="22"/>
          <w:szCs w:val="22"/>
        </w:rPr>
        <w:t>Re: Comments on APA Guidelines of Occupationally-Ma</w:t>
      </w:r>
      <w:r>
        <w:rPr>
          <w:rFonts w:ascii="Times New Roman" w:hAnsi="Times New Roman"/>
          <w:sz w:val="22"/>
          <w:szCs w:val="22"/>
        </w:rPr>
        <w:t>ndated</w:t>
      </w:r>
      <w:r w:rsidRPr="00C6508A">
        <w:rPr>
          <w:rFonts w:ascii="Times New Roman" w:hAnsi="Times New Roman"/>
          <w:sz w:val="22"/>
          <w:szCs w:val="22"/>
        </w:rPr>
        <w:t xml:space="preserve"> Psychological Evaluations (OMPEs)</w:t>
      </w:r>
    </w:p>
    <w:p w14:paraId="1FA7DF31" w14:textId="77777777" w:rsidR="00C6508A" w:rsidRPr="00C6508A" w:rsidRDefault="00C6508A" w:rsidP="00C6508A">
      <w:pPr>
        <w:ind w:left="1170" w:hanging="450"/>
        <w:rPr>
          <w:rFonts w:ascii="Times New Roman" w:hAnsi="Times New Roman"/>
          <w:sz w:val="22"/>
          <w:szCs w:val="22"/>
        </w:rPr>
      </w:pPr>
    </w:p>
    <w:p w14:paraId="705E7530" w14:textId="77777777" w:rsidR="00C6508A" w:rsidRDefault="00C6508A" w:rsidP="00C6508A">
      <w:pPr>
        <w:rPr>
          <w:rFonts w:ascii="Times New Roman" w:hAnsi="Times New Roman"/>
          <w:sz w:val="22"/>
          <w:szCs w:val="22"/>
        </w:rPr>
      </w:pPr>
      <w:r w:rsidRPr="00C6508A">
        <w:rPr>
          <w:rFonts w:ascii="Times New Roman" w:hAnsi="Times New Roman"/>
          <w:sz w:val="22"/>
          <w:szCs w:val="22"/>
        </w:rPr>
        <w:t xml:space="preserve">Dear Ms. </w:t>
      </w:r>
      <w:proofErr w:type="spellStart"/>
      <w:r w:rsidRPr="00C6508A">
        <w:rPr>
          <w:rFonts w:ascii="Times New Roman" w:hAnsi="Times New Roman"/>
          <w:sz w:val="22"/>
          <w:szCs w:val="22"/>
        </w:rPr>
        <w:t>Hardiman</w:t>
      </w:r>
      <w:proofErr w:type="spellEnd"/>
      <w:r w:rsidRPr="00C6508A">
        <w:rPr>
          <w:rFonts w:ascii="Times New Roman" w:hAnsi="Times New Roman"/>
          <w:sz w:val="22"/>
          <w:szCs w:val="22"/>
        </w:rPr>
        <w:t>:</w:t>
      </w:r>
    </w:p>
    <w:p w14:paraId="257F907D" w14:textId="77777777" w:rsidR="00C6508A" w:rsidRPr="00C6508A" w:rsidRDefault="00C6508A" w:rsidP="00C6508A">
      <w:pPr>
        <w:rPr>
          <w:rFonts w:ascii="Times New Roman" w:hAnsi="Times New Roman"/>
          <w:sz w:val="22"/>
          <w:szCs w:val="22"/>
        </w:rPr>
      </w:pPr>
    </w:p>
    <w:p w14:paraId="72C2B4F6" w14:textId="77777777" w:rsidR="00C6508A" w:rsidRPr="00C6508A" w:rsidRDefault="00C6508A" w:rsidP="00C65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2"/>
          <w:szCs w:val="22"/>
        </w:rPr>
      </w:pPr>
      <w:r w:rsidRPr="00C6508A">
        <w:rPr>
          <w:rFonts w:ascii="Times New Roman" w:eastAsia="Times New Roman" w:hAnsi="Times New Roman"/>
          <w:sz w:val="22"/>
          <w:szCs w:val="22"/>
        </w:rPr>
        <w:tab/>
        <w:t xml:space="preserve">The Association of Test Publishers (“ATP”) submits these comments in response to the proposed guidelines for Occupationally-Mandated Psychological Evaluations (OMPEs), and we wish to acknowledge your cooperation in extending the time for us to do so until February 15, 2016. This additional time has provided the ATP with the opportunity to work with its Industrial/Organization Division, as well as its Certification/Licensure and Workforce Skills Credentialing Divisions, to develop comments on the proposed guidelines, which we hope the Committee will find useful. </w:t>
      </w:r>
    </w:p>
    <w:p w14:paraId="32A52B64" w14:textId="77777777" w:rsidR="00C6508A" w:rsidRPr="00C6508A" w:rsidRDefault="00C6508A" w:rsidP="00C6508A">
      <w:pPr>
        <w:jc w:val="center"/>
        <w:rPr>
          <w:rFonts w:ascii="Times New Roman" w:eastAsiaTheme="minorEastAsia" w:hAnsi="Times New Roman"/>
          <w:sz w:val="22"/>
          <w:szCs w:val="22"/>
        </w:rPr>
      </w:pPr>
    </w:p>
    <w:p w14:paraId="057E7612" w14:textId="77777777" w:rsidR="00C6508A" w:rsidRPr="00C6508A" w:rsidRDefault="00C6508A" w:rsidP="00C6508A">
      <w:pPr>
        <w:autoSpaceDE w:val="0"/>
        <w:autoSpaceDN w:val="0"/>
        <w:adjustRightInd w:val="0"/>
        <w:rPr>
          <w:rFonts w:ascii="Times New Roman" w:eastAsiaTheme="minorEastAsia" w:hAnsi="Times New Roman"/>
          <w:sz w:val="22"/>
          <w:szCs w:val="22"/>
        </w:rPr>
      </w:pPr>
      <w:r w:rsidRPr="00C6508A">
        <w:rPr>
          <w:rFonts w:ascii="Times New Roman" w:eastAsiaTheme="minorEastAsia" w:hAnsi="Times New Roman"/>
          <w:sz w:val="22"/>
          <w:szCs w:val="22"/>
        </w:rPr>
        <w:tab/>
        <w:t xml:space="preserve">The ATP is the international trade association representing approximately 175 publishers, developers, and vendors of assessments and assessment services (both non-profit and for profit) used in a variety of settings, including virtually every purpose for which the APA has developed its proposed guidelines, as well as for similar non-clinical purposes. The ATP has served as the “Intelligent Voice for Testing” for 25 years, providing input to the United States Congress, state legislatures, and federal and state agencies and courts in their efforts to examine and resolve issues surrounding testing and the use of test data.  For decades, ATP members have provided assessment products and services that potentially are affected by the proposed guidelines.  Therefore, we deeply appreciate the opportunity to submit these comments. </w:t>
      </w:r>
    </w:p>
    <w:p w14:paraId="5F8442BD" w14:textId="77777777" w:rsidR="00C6508A" w:rsidRPr="00C6508A" w:rsidRDefault="00C6508A" w:rsidP="00C6508A">
      <w:pPr>
        <w:autoSpaceDE w:val="0"/>
        <w:autoSpaceDN w:val="0"/>
        <w:adjustRightInd w:val="0"/>
        <w:rPr>
          <w:rFonts w:ascii="Times New Roman" w:eastAsiaTheme="minorEastAsia" w:hAnsi="Times New Roman"/>
          <w:sz w:val="22"/>
          <w:szCs w:val="22"/>
        </w:rPr>
      </w:pPr>
    </w:p>
    <w:p w14:paraId="70014152" w14:textId="77777777" w:rsidR="00C6508A" w:rsidRPr="00C6508A" w:rsidRDefault="00C6508A" w:rsidP="00C6508A">
      <w:pPr>
        <w:autoSpaceDE w:val="0"/>
        <w:autoSpaceDN w:val="0"/>
        <w:adjustRightInd w:val="0"/>
        <w:ind w:firstLine="720"/>
        <w:rPr>
          <w:rFonts w:ascii="Times New Roman" w:hAnsi="Times New Roman"/>
          <w:sz w:val="22"/>
          <w:szCs w:val="22"/>
        </w:rPr>
      </w:pPr>
      <w:r w:rsidRPr="00C6508A">
        <w:rPr>
          <w:rFonts w:ascii="Times New Roman" w:hAnsi="Times New Roman"/>
          <w:sz w:val="22"/>
          <w:szCs w:val="22"/>
        </w:rPr>
        <w:t xml:space="preserve">The ATP commends the Committee on Professional Practice and Standards for its efforts in developing the proposed OMPE guidelines.   Overall, the guidelines, their rationale, contextual framework, supporting citations, and accompanying caveats are clearly articulated </w:t>
      </w:r>
    </w:p>
    <w:p w14:paraId="566AC255" w14:textId="77777777" w:rsidR="00C6508A" w:rsidRDefault="00C6508A" w:rsidP="00C6508A">
      <w:pPr>
        <w:autoSpaceDE w:val="0"/>
        <w:autoSpaceDN w:val="0"/>
        <w:adjustRightInd w:val="0"/>
        <w:rPr>
          <w:rFonts w:ascii="Times New Roman" w:hAnsi="Times New Roman"/>
          <w:sz w:val="22"/>
          <w:szCs w:val="22"/>
        </w:rPr>
      </w:pPr>
    </w:p>
    <w:p w14:paraId="58AE19DC" w14:textId="77777777" w:rsidR="00C6508A" w:rsidRDefault="00C6508A" w:rsidP="00C6508A">
      <w:pPr>
        <w:autoSpaceDE w:val="0"/>
        <w:autoSpaceDN w:val="0"/>
        <w:adjustRightInd w:val="0"/>
        <w:rPr>
          <w:rFonts w:ascii="Times New Roman" w:hAnsi="Times New Roman"/>
          <w:sz w:val="22"/>
          <w:szCs w:val="22"/>
        </w:rPr>
      </w:pPr>
    </w:p>
    <w:p w14:paraId="7B33DFDF" w14:textId="77777777" w:rsidR="00C6508A" w:rsidRPr="00C6508A" w:rsidRDefault="00C6508A" w:rsidP="00C6508A">
      <w:pPr>
        <w:autoSpaceDE w:val="0"/>
        <w:autoSpaceDN w:val="0"/>
        <w:adjustRightInd w:val="0"/>
        <w:rPr>
          <w:rFonts w:ascii="Times New Roman" w:hAnsi="Times New Roman"/>
          <w:sz w:val="22"/>
          <w:szCs w:val="22"/>
        </w:rPr>
      </w:pPr>
      <w:r w:rsidRPr="00C6508A">
        <w:rPr>
          <w:rFonts w:ascii="Times New Roman" w:hAnsi="Times New Roman"/>
          <w:sz w:val="22"/>
          <w:szCs w:val="22"/>
        </w:rPr>
        <w:lastRenderedPageBreak/>
        <w:t xml:space="preserve">Mary G. </w:t>
      </w:r>
      <w:proofErr w:type="spellStart"/>
      <w:r w:rsidRPr="00C6508A">
        <w:rPr>
          <w:rFonts w:ascii="Times New Roman" w:hAnsi="Times New Roman"/>
          <w:sz w:val="22"/>
          <w:szCs w:val="22"/>
        </w:rPr>
        <w:t>Hardiman</w:t>
      </w:r>
      <w:proofErr w:type="spellEnd"/>
    </w:p>
    <w:p w14:paraId="10205C3C" w14:textId="77777777" w:rsidR="00C6508A" w:rsidRPr="00C6508A" w:rsidRDefault="00C6508A" w:rsidP="00C6508A">
      <w:pPr>
        <w:autoSpaceDE w:val="0"/>
        <w:autoSpaceDN w:val="0"/>
        <w:adjustRightInd w:val="0"/>
        <w:rPr>
          <w:rFonts w:ascii="Times New Roman" w:hAnsi="Times New Roman"/>
          <w:sz w:val="22"/>
          <w:szCs w:val="22"/>
        </w:rPr>
      </w:pPr>
      <w:r w:rsidRPr="00C6508A">
        <w:rPr>
          <w:rFonts w:ascii="Times New Roman" w:hAnsi="Times New Roman"/>
          <w:sz w:val="22"/>
          <w:szCs w:val="22"/>
        </w:rPr>
        <w:t>February 15, 2016</w:t>
      </w:r>
    </w:p>
    <w:p w14:paraId="447F24C4" w14:textId="77777777" w:rsidR="00C6508A" w:rsidRPr="00C6508A" w:rsidRDefault="00C6508A" w:rsidP="00C6508A">
      <w:pPr>
        <w:autoSpaceDE w:val="0"/>
        <w:autoSpaceDN w:val="0"/>
        <w:adjustRightInd w:val="0"/>
        <w:rPr>
          <w:rFonts w:ascii="Times New Roman" w:hAnsi="Times New Roman"/>
          <w:sz w:val="22"/>
          <w:szCs w:val="22"/>
        </w:rPr>
      </w:pPr>
      <w:r w:rsidRPr="00C6508A">
        <w:rPr>
          <w:rFonts w:ascii="Times New Roman" w:hAnsi="Times New Roman"/>
          <w:sz w:val="22"/>
          <w:szCs w:val="22"/>
        </w:rPr>
        <w:t>Page Two</w:t>
      </w:r>
    </w:p>
    <w:p w14:paraId="5CB24B2B" w14:textId="77777777" w:rsidR="00C6508A" w:rsidRPr="00C6508A" w:rsidRDefault="00C6508A" w:rsidP="00C6508A">
      <w:pPr>
        <w:autoSpaceDE w:val="0"/>
        <w:autoSpaceDN w:val="0"/>
        <w:adjustRightInd w:val="0"/>
        <w:rPr>
          <w:rFonts w:ascii="Times New Roman" w:hAnsi="Times New Roman"/>
          <w:sz w:val="22"/>
          <w:szCs w:val="22"/>
        </w:rPr>
      </w:pPr>
    </w:p>
    <w:p w14:paraId="3EFA93E7" w14:textId="77777777" w:rsidR="00C6508A" w:rsidRPr="00C6508A" w:rsidRDefault="00C6508A" w:rsidP="00C6508A">
      <w:pPr>
        <w:autoSpaceDE w:val="0"/>
        <w:autoSpaceDN w:val="0"/>
        <w:adjustRightInd w:val="0"/>
        <w:rPr>
          <w:rFonts w:ascii="Times New Roman" w:hAnsi="Times New Roman"/>
          <w:sz w:val="22"/>
          <w:szCs w:val="22"/>
        </w:rPr>
      </w:pPr>
      <w:r w:rsidRPr="00C6508A">
        <w:rPr>
          <w:rFonts w:ascii="Times New Roman" w:hAnsi="Times New Roman"/>
          <w:sz w:val="22"/>
          <w:szCs w:val="22"/>
        </w:rPr>
        <w:t>and explained in a sensible manner.  Consequently, the guidelines provide relevance for competent and responsible practices by psychologists in conducting these types of evaluations.</w:t>
      </w:r>
      <w:r w:rsidRPr="00C6508A">
        <w:rPr>
          <w:rFonts w:ascii="Times New Roman" w:eastAsiaTheme="minorEastAsia" w:hAnsi="Times New Roman"/>
          <w:sz w:val="22"/>
          <w:szCs w:val="22"/>
        </w:rPr>
        <w:t xml:space="preserve">  </w:t>
      </w:r>
      <w:r w:rsidRPr="00C6508A">
        <w:rPr>
          <w:rFonts w:ascii="Times New Roman" w:hAnsi="Times New Roman"/>
          <w:sz w:val="22"/>
          <w:szCs w:val="22"/>
        </w:rPr>
        <w:t>Nevertheless, the ATP submits it is important to clarify the focus of the proposed guidelines in order to enhance their usefulness, while not precluding customary evaluation and assessment practices that are well-established and lawful.  Accordingly, the ATP wishes to share five specific comments and suggestions for improving the proposed guidelines.</w:t>
      </w:r>
    </w:p>
    <w:p w14:paraId="2E08D23F" w14:textId="77777777" w:rsidR="00C6508A" w:rsidRPr="00C6508A" w:rsidRDefault="00C6508A" w:rsidP="00C6508A">
      <w:pPr>
        <w:autoSpaceDE w:val="0"/>
        <w:autoSpaceDN w:val="0"/>
        <w:adjustRightInd w:val="0"/>
        <w:ind w:firstLine="720"/>
        <w:rPr>
          <w:rFonts w:ascii="Times New Roman" w:eastAsiaTheme="minorEastAsia" w:hAnsi="Times New Roman"/>
          <w:sz w:val="22"/>
          <w:szCs w:val="22"/>
        </w:rPr>
      </w:pPr>
      <w:r w:rsidRPr="00C6508A">
        <w:rPr>
          <w:rFonts w:ascii="Times New Roman" w:hAnsi="Times New Roman"/>
          <w:sz w:val="22"/>
          <w:szCs w:val="22"/>
        </w:rPr>
        <w:t xml:space="preserve">  </w:t>
      </w:r>
    </w:p>
    <w:p w14:paraId="23767FBF" w14:textId="77777777" w:rsidR="00C6508A" w:rsidRPr="00C6508A" w:rsidRDefault="00C6508A" w:rsidP="00C6508A">
      <w:pPr>
        <w:pStyle w:val="ListParagraph"/>
        <w:numPr>
          <w:ilvl w:val="0"/>
          <w:numId w:val="36"/>
        </w:numPr>
        <w:ind w:left="0" w:firstLine="360"/>
        <w:contextualSpacing/>
        <w:rPr>
          <w:rFonts w:ascii="Times New Roman" w:hAnsi="Times New Roman"/>
          <w:szCs w:val="22"/>
        </w:rPr>
      </w:pPr>
      <w:r w:rsidRPr="00C6508A">
        <w:rPr>
          <w:rFonts w:ascii="Times New Roman" w:hAnsi="Times New Roman"/>
          <w:szCs w:val="22"/>
        </w:rPr>
        <w:t xml:space="preserve">The proposed guidelines draw a distinction between “professional practice guidelines” and “clinical practice guidelines” (page 5, lines 82-90).  Although such a distinction makes complete sense, in our opinion, the overall guidelines routinely merge the two and often cross over into discussions about diagnostic clinical evaluations despite the purported distinction. The ATP firmly believes that the proposed guidelines must adhere more fully to the suggested distinction – it is absolutely necessary that practices related to actual clinical, diagnostic evaluations not be confused with “professional practice guidelines.” </w:t>
      </w:r>
    </w:p>
    <w:p w14:paraId="140F9975" w14:textId="77777777" w:rsidR="00C6508A" w:rsidRDefault="00C6508A" w:rsidP="00C6508A">
      <w:pPr>
        <w:ind w:firstLine="360"/>
        <w:rPr>
          <w:rFonts w:ascii="Times New Roman" w:hAnsi="Times New Roman"/>
          <w:sz w:val="22"/>
          <w:szCs w:val="22"/>
        </w:rPr>
      </w:pPr>
      <w:r w:rsidRPr="00C6508A">
        <w:rPr>
          <w:rFonts w:ascii="Times New Roman" w:hAnsi="Times New Roman"/>
          <w:sz w:val="22"/>
          <w:szCs w:val="22"/>
        </w:rPr>
        <w:t>Not only must the clinical/practical dichotomy be rigorously observed, the ATP submits that the guidelines should also draw a clear distinction between non-clinical assessments of risk-oriented characteristics, behaviors or attitudes, which may be used in conducting OMPEs for pre-employment screening purposes, and clinical assessments designed to assess psychopathology, neuropsychological issues, or purely diagnostic disorders identified by the Diagnostic and Statistical Manual of Mental Disorders, 5</w:t>
      </w:r>
      <w:r w:rsidRPr="00C6508A">
        <w:rPr>
          <w:rFonts w:ascii="Times New Roman" w:hAnsi="Times New Roman"/>
          <w:sz w:val="22"/>
          <w:szCs w:val="22"/>
          <w:vertAlign w:val="superscript"/>
        </w:rPr>
        <w:t>th</w:t>
      </w:r>
      <w:r w:rsidRPr="00C6508A">
        <w:rPr>
          <w:rFonts w:ascii="Times New Roman" w:hAnsi="Times New Roman"/>
          <w:sz w:val="22"/>
          <w:szCs w:val="22"/>
        </w:rPr>
        <w:t xml:space="preserve"> Edition (“DSM-5”), which can only be used as part of post-conditional job offer medical exams.  The proposed guidelines need to be carefully written not to encircle practices that are non-clinical in nature, because those assessments have a long history of appropriate use in pre-employment settings.    </w:t>
      </w:r>
    </w:p>
    <w:p w14:paraId="66E60A87" w14:textId="77777777" w:rsidR="00622A56" w:rsidRPr="00C6508A" w:rsidRDefault="00622A56" w:rsidP="00C6508A">
      <w:pPr>
        <w:ind w:firstLine="360"/>
        <w:rPr>
          <w:rFonts w:ascii="Times New Roman" w:hAnsi="Times New Roman"/>
          <w:sz w:val="22"/>
          <w:szCs w:val="22"/>
        </w:rPr>
      </w:pPr>
    </w:p>
    <w:p w14:paraId="357ED387" w14:textId="77777777" w:rsidR="00C6508A" w:rsidRPr="00C6508A" w:rsidRDefault="00C6508A" w:rsidP="00C6508A">
      <w:pPr>
        <w:pStyle w:val="ListParagraph"/>
        <w:numPr>
          <w:ilvl w:val="0"/>
          <w:numId w:val="36"/>
        </w:numPr>
        <w:ind w:left="0" w:firstLine="360"/>
        <w:contextualSpacing/>
        <w:rPr>
          <w:rFonts w:ascii="Times New Roman" w:hAnsi="Times New Roman"/>
          <w:szCs w:val="22"/>
        </w:rPr>
      </w:pPr>
      <w:r w:rsidRPr="00C6508A">
        <w:rPr>
          <w:rFonts w:ascii="Times New Roman" w:hAnsi="Times New Roman"/>
          <w:szCs w:val="22"/>
        </w:rPr>
        <w:t xml:space="preserve">Moreover, the proposed guidelines do not appear to take fully into account the use of clinical and non-clinical assessments for promotion and other in-house purposes (e.g., terminations, suspensions, maintenance of performance and/or issuance of certifications/credentials) within an organization after and/or apart from when the person has been initially hired, certified or retained (see page 2, lines 19-21).  Although the proposed guidelines reference “promotional suitability” (page 5, line 99), the ATP contends that those two words are hardly sufficient to deal with the unique settings encompassed by using assessments for promotional purposes.  In many of these settings, the employer already possesses abundant data about the individual, some of which might well be considered clinical if it was obtained during pre-employment screening.  Accordingly, we recommend that the Committee needs to prepare additional commentary to cover this situation, as well as evaluations of “ongoing competency” or “renewal of certifications/credentials” of existing employees, giving appropriate recognition to the fact that the employer/organization already has collected both clinical and non-clinical data about such a person that was gathered in accordance with the law – and in a manner consistent with these guidelines.  </w:t>
      </w:r>
    </w:p>
    <w:p w14:paraId="5D85BA75" w14:textId="13C94DAE" w:rsidR="00C6508A" w:rsidRPr="00C6508A" w:rsidRDefault="007C378F" w:rsidP="00C6508A">
      <w:pPr>
        <w:pStyle w:val="CommentText"/>
        <w:ind w:firstLine="36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bookmarkStart w:id="0" w:name="_GoBack"/>
      <w:bookmarkEnd w:id="0"/>
      <w:r w:rsidR="00C6508A" w:rsidRPr="00C6508A">
        <w:rPr>
          <w:rFonts w:ascii="Times New Roman" w:hAnsi="Times New Roman" w:cs="Times New Roman"/>
          <w:sz w:val="22"/>
          <w:szCs w:val="22"/>
        </w:rPr>
        <w:t xml:space="preserve">The ATP also submits that a clear distinction should be made between the use of clinical assessments that may be used in conjunction with OMPEs to help evaluate fitness-for-duty, </w:t>
      </w:r>
    </w:p>
    <w:p w14:paraId="2A22E4BD" w14:textId="77777777" w:rsidR="00C6508A" w:rsidRDefault="00C6508A" w:rsidP="00C6508A">
      <w:pPr>
        <w:autoSpaceDE w:val="0"/>
        <w:autoSpaceDN w:val="0"/>
        <w:adjustRightInd w:val="0"/>
        <w:rPr>
          <w:rFonts w:ascii="Times New Roman" w:hAnsi="Times New Roman"/>
          <w:sz w:val="22"/>
          <w:szCs w:val="22"/>
        </w:rPr>
      </w:pPr>
    </w:p>
    <w:p w14:paraId="17ADFC02" w14:textId="77777777" w:rsidR="00C6508A" w:rsidRDefault="00C6508A" w:rsidP="00C6508A">
      <w:pPr>
        <w:autoSpaceDE w:val="0"/>
        <w:autoSpaceDN w:val="0"/>
        <w:adjustRightInd w:val="0"/>
        <w:rPr>
          <w:rFonts w:ascii="Times New Roman" w:hAnsi="Times New Roman"/>
          <w:sz w:val="22"/>
          <w:szCs w:val="22"/>
        </w:rPr>
      </w:pPr>
    </w:p>
    <w:p w14:paraId="08A987EF" w14:textId="77777777" w:rsidR="00C6508A" w:rsidRDefault="00C6508A" w:rsidP="00C6508A">
      <w:pPr>
        <w:autoSpaceDE w:val="0"/>
        <w:autoSpaceDN w:val="0"/>
        <w:adjustRightInd w:val="0"/>
        <w:rPr>
          <w:rFonts w:ascii="Times New Roman" w:hAnsi="Times New Roman"/>
          <w:sz w:val="22"/>
          <w:szCs w:val="22"/>
        </w:rPr>
      </w:pPr>
    </w:p>
    <w:p w14:paraId="6AD09FEF" w14:textId="77777777" w:rsidR="00C6508A" w:rsidRDefault="00C6508A" w:rsidP="00C6508A">
      <w:pPr>
        <w:autoSpaceDE w:val="0"/>
        <w:autoSpaceDN w:val="0"/>
        <w:adjustRightInd w:val="0"/>
        <w:rPr>
          <w:rFonts w:ascii="Times New Roman" w:hAnsi="Times New Roman"/>
          <w:sz w:val="22"/>
          <w:szCs w:val="22"/>
        </w:rPr>
      </w:pPr>
    </w:p>
    <w:p w14:paraId="609471EF" w14:textId="77777777" w:rsidR="00C6508A" w:rsidRDefault="00C6508A" w:rsidP="00C6508A">
      <w:pPr>
        <w:autoSpaceDE w:val="0"/>
        <w:autoSpaceDN w:val="0"/>
        <w:adjustRightInd w:val="0"/>
        <w:rPr>
          <w:rFonts w:ascii="Times New Roman" w:hAnsi="Times New Roman"/>
          <w:sz w:val="22"/>
          <w:szCs w:val="22"/>
        </w:rPr>
      </w:pPr>
    </w:p>
    <w:p w14:paraId="39E3BD0F" w14:textId="77777777" w:rsidR="00C6508A" w:rsidRDefault="00C6508A" w:rsidP="00C6508A">
      <w:pPr>
        <w:autoSpaceDE w:val="0"/>
        <w:autoSpaceDN w:val="0"/>
        <w:adjustRightInd w:val="0"/>
        <w:rPr>
          <w:rFonts w:ascii="Times New Roman" w:hAnsi="Times New Roman"/>
          <w:sz w:val="22"/>
          <w:szCs w:val="22"/>
        </w:rPr>
      </w:pPr>
    </w:p>
    <w:p w14:paraId="70D8BD1E" w14:textId="77777777" w:rsidR="00C6508A" w:rsidRDefault="00C6508A" w:rsidP="00C6508A">
      <w:pPr>
        <w:autoSpaceDE w:val="0"/>
        <w:autoSpaceDN w:val="0"/>
        <w:adjustRightInd w:val="0"/>
        <w:rPr>
          <w:rFonts w:ascii="Times New Roman" w:hAnsi="Times New Roman"/>
          <w:sz w:val="22"/>
          <w:szCs w:val="22"/>
        </w:rPr>
      </w:pPr>
    </w:p>
    <w:p w14:paraId="6E4F013A" w14:textId="77777777" w:rsidR="00C6508A" w:rsidRPr="00C6508A" w:rsidRDefault="00C6508A" w:rsidP="00C6508A">
      <w:pPr>
        <w:autoSpaceDE w:val="0"/>
        <w:autoSpaceDN w:val="0"/>
        <w:adjustRightInd w:val="0"/>
        <w:rPr>
          <w:rFonts w:ascii="Times New Roman" w:hAnsi="Times New Roman"/>
          <w:sz w:val="22"/>
          <w:szCs w:val="22"/>
        </w:rPr>
      </w:pPr>
      <w:r w:rsidRPr="00C6508A">
        <w:rPr>
          <w:rFonts w:ascii="Times New Roman" w:hAnsi="Times New Roman"/>
          <w:sz w:val="22"/>
          <w:szCs w:val="22"/>
        </w:rPr>
        <w:t xml:space="preserve">Mary G. </w:t>
      </w:r>
      <w:proofErr w:type="spellStart"/>
      <w:r w:rsidRPr="00C6508A">
        <w:rPr>
          <w:rFonts w:ascii="Times New Roman" w:hAnsi="Times New Roman"/>
          <w:sz w:val="22"/>
          <w:szCs w:val="22"/>
        </w:rPr>
        <w:t>Hardiman</w:t>
      </w:r>
      <w:proofErr w:type="spellEnd"/>
    </w:p>
    <w:p w14:paraId="67EF0F65" w14:textId="77777777" w:rsidR="00C6508A" w:rsidRPr="00C6508A" w:rsidRDefault="00C6508A" w:rsidP="00C6508A">
      <w:pPr>
        <w:autoSpaceDE w:val="0"/>
        <w:autoSpaceDN w:val="0"/>
        <w:adjustRightInd w:val="0"/>
        <w:rPr>
          <w:rFonts w:ascii="Times New Roman" w:hAnsi="Times New Roman"/>
          <w:sz w:val="22"/>
          <w:szCs w:val="22"/>
        </w:rPr>
      </w:pPr>
      <w:r w:rsidRPr="00C6508A">
        <w:rPr>
          <w:rFonts w:ascii="Times New Roman" w:hAnsi="Times New Roman"/>
          <w:sz w:val="22"/>
          <w:szCs w:val="22"/>
        </w:rPr>
        <w:t>February 15, 2016</w:t>
      </w:r>
    </w:p>
    <w:p w14:paraId="592E834F" w14:textId="77777777" w:rsidR="00C6508A" w:rsidRPr="00C6508A" w:rsidRDefault="00C6508A" w:rsidP="00C6508A">
      <w:pPr>
        <w:autoSpaceDE w:val="0"/>
        <w:autoSpaceDN w:val="0"/>
        <w:adjustRightInd w:val="0"/>
        <w:rPr>
          <w:rFonts w:ascii="Times New Roman" w:hAnsi="Times New Roman"/>
          <w:sz w:val="22"/>
          <w:szCs w:val="22"/>
        </w:rPr>
      </w:pPr>
      <w:r w:rsidRPr="00C6508A">
        <w:rPr>
          <w:rFonts w:ascii="Times New Roman" w:hAnsi="Times New Roman"/>
          <w:sz w:val="22"/>
          <w:szCs w:val="22"/>
        </w:rPr>
        <w:t>Page Three</w:t>
      </w:r>
    </w:p>
    <w:p w14:paraId="687063EF" w14:textId="77777777" w:rsidR="00C6508A" w:rsidRPr="00C6508A" w:rsidRDefault="00C6508A" w:rsidP="00C6508A">
      <w:pPr>
        <w:autoSpaceDE w:val="0"/>
        <w:autoSpaceDN w:val="0"/>
        <w:adjustRightInd w:val="0"/>
        <w:rPr>
          <w:rFonts w:ascii="Times New Roman" w:hAnsi="Times New Roman"/>
          <w:sz w:val="22"/>
          <w:szCs w:val="22"/>
        </w:rPr>
      </w:pPr>
    </w:p>
    <w:p w14:paraId="3AB6B9CA" w14:textId="77777777" w:rsidR="00C6508A" w:rsidRPr="00C6508A" w:rsidRDefault="00C6508A" w:rsidP="00C6508A">
      <w:pPr>
        <w:pStyle w:val="CommentText"/>
        <w:rPr>
          <w:rFonts w:ascii="Times New Roman" w:hAnsi="Times New Roman" w:cs="Times New Roman"/>
          <w:sz w:val="22"/>
          <w:szCs w:val="22"/>
        </w:rPr>
      </w:pPr>
      <w:r w:rsidRPr="00C6508A">
        <w:rPr>
          <w:rFonts w:ascii="Times New Roman" w:hAnsi="Times New Roman" w:cs="Times New Roman"/>
          <w:sz w:val="22"/>
          <w:szCs w:val="22"/>
        </w:rPr>
        <w:t>fitness-for-practice, awarding of certifications or credentials, and the use of non-</w:t>
      </w:r>
      <w:proofErr w:type="gramStart"/>
      <w:r w:rsidRPr="00C6508A">
        <w:rPr>
          <w:rFonts w:ascii="Times New Roman" w:hAnsi="Times New Roman" w:cs="Times New Roman"/>
          <w:sz w:val="22"/>
          <w:szCs w:val="22"/>
        </w:rPr>
        <w:t>clinical  assessments</w:t>
      </w:r>
      <w:proofErr w:type="gramEnd"/>
      <w:r w:rsidRPr="00C6508A">
        <w:rPr>
          <w:rFonts w:ascii="Times New Roman" w:hAnsi="Times New Roman" w:cs="Times New Roman"/>
          <w:sz w:val="22"/>
          <w:szCs w:val="22"/>
        </w:rPr>
        <w:t xml:space="preserve"> designed to assess safety-oriented constructs (e.g., safety awareness and locus of control, sensation-seeking), that may be used to identify individual behavioral tendencies that reflect lack of safety, conduct organizational training needs analysis, and guide training intervention strategies.  Of course, the ATP notes that, as discussed in Guideline 8, the use of assessments must be aligned with their expressed purposes, as published by technical examination/testing manuals and references in credible publications.  </w:t>
      </w:r>
    </w:p>
    <w:p w14:paraId="68FB2E24" w14:textId="48D9AAAA" w:rsidR="00C6508A" w:rsidRPr="00622A56" w:rsidRDefault="00C6508A" w:rsidP="00622A56">
      <w:pPr>
        <w:pStyle w:val="ListParagraph"/>
        <w:tabs>
          <w:tab w:val="left" w:pos="0"/>
        </w:tabs>
        <w:ind w:left="0" w:firstLine="360"/>
        <w:rPr>
          <w:rFonts w:ascii="Times New Roman" w:eastAsia="Times New Roman" w:hAnsi="Times New Roman"/>
          <w:i/>
          <w:szCs w:val="22"/>
        </w:rPr>
      </w:pPr>
      <w:r w:rsidRPr="00C6508A">
        <w:rPr>
          <w:rFonts w:ascii="Times New Roman" w:hAnsi="Times New Roman"/>
          <w:szCs w:val="22"/>
        </w:rPr>
        <w:t>4.  Consistent with all of the above distinctions, the ATP suggests that the guidelines should stress clearly that any clinical assessment instruments used as part of workplace OMPEs (and other clinical-related evaluations conducted for selection, placement or promotion) still need to be job relevant and conform to the EEOC</w:t>
      </w:r>
      <w:r w:rsidRPr="00C6508A">
        <w:rPr>
          <w:rFonts w:ascii="Times New Roman" w:hAnsi="Times New Roman"/>
          <w:i/>
          <w:szCs w:val="22"/>
        </w:rPr>
        <w:t xml:space="preserve"> Uniform Guidelines on Employee Selection Procedures,</w:t>
      </w:r>
      <w:r w:rsidRPr="00C6508A">
        <w:rPr>
          <w:rFonts w:ascii="Times New Roman" w:hAnsi="Times New Roman"/>
          <w:szCs w:val="22"/>
        </w:rPr>
        <w:t xml:space="preserve"> as well as with ADA/ADAAA, HIPPA, and pertinent clinical standards, including the </w:t>
      </w:r>
      <w:r w:rsidRPr="00C6508A">
        <w:rPr>
          <w:rFonts w:ascii="Times New Roman" w:hAnsi="Times New Roman"/>
          <w:i/>
          <w:szCs w:val="22"/>
        </w:rPr>
        <w:t xml:space="preserve">Ethical Standards and Code of Conduct </w:t>
      </w:r>
      <w:r w:rsidRPr="00C6508A">
        <w:rPr>
          <w:rFonts w:ascii="Times New Roman" w:hAnsi="Times New Roman"/>
          <w:szCs w:val="22"/>
        </w:rPr>
        <w:t>(“ESCC”)</w:t>
      </w:r>
      <w:r w:rsidRPr="00C6508A">
        <w:rPr>
          <w:rFonts w:ascii="Times New Roman" w:hAnsi="Times New Roman"/>
          <w:i/>
          <w:szCs w:val="22"/>
        </w:rPr>
        <w:t xml:space="preserve">.  </w:t>
      </w:r>
      <w:r w:rsidRPr="00C6508A">
        <w:rPr>
          <w:rFonts w:ascii="Times New Roman" w:hAnsi="Times New Roman"/>
          <w:szCs w:val="22"/>
        </w:rPr>
        <w:t xml:space="preserve">Ideally, such assessments also should be validated for use in work settings, as set forth by the SIOP </w:t>
      </w:r>
      <w:r w:rsidRPr="00C6508A">
        <w:rPr>
          <w:rFonts w:ascii="Times New Roman" w:hAnsi="Times New Roman"/>
          <w:i/>
          <w:szCs w:val="22"/>
        </w:rPr>
        <w:t>Principles for the Validation and Use of Personnel Selection Procedures</w:t>
      </w:r>
      <w:r w:rsidRPr="00C6508A">
        <w:rPr>
          <w:rFonts w:ascii="Times New Roman" w:hAnsi="Times New Roman"/>
          <w:szCs w:val="22"/>
        </w:rPr>
        <w:t>.</w:t>
      </w:r>
    </w:p>
    <w:p w14:paraId="5B08954D" w14:textId="61752807" w:rsidR="00C6508A" w:rsidRPr="00622A56" w:rsidRDefault="00C6508A" w:rsidP="00622A56">
      <w:pPr>
        <w:pStyle w:val="ListParagraph"/>
        <w:ind w:left="0" w:firstLine="360"/>
        <w:rPr>
          <w:rFonts w:ascii="Times New Roman" w:hAnsi="Times New Roman"/>
          <w:szCs w:val="22"/>
        </w:rPr>
      </w:pPr>
      <w:r w:rsidRPr="00C6508A">
        <w:rPr>
          <w:rFonts w:ascii="Times New Roman" w:hAnsi="Times New Roman"/>
          <w:szCs w:val="22"/>
        </w:rPr>
        <w:t xml:space="preserve">Related to reliance on the ESCC, the ATP also observes that it would be useful for the proposed guidelines to discuss the need for the psychologist to use appropriate security in handling and storing personal and assessment data of individuals in order to protect their privacy.  This discussion should contain guidance on the need for information security policies to protect an examinee’s data, especially assessment data, as well as specific practices that may be required (e.g., mitigation strategies for a breach of security). </w:t>
      </w:r>
    </w:p>
    <w:p w14:paraId="73549F42" w14:textId="77777777" w:rsidR="00C6508A" w:rsidRPr="00C6508A" w:rsidRDefault="00C6508A" w:rsidP="00C6508A">
      <w:pPr>
        <w:pStyle w:val="ListParagraph"/>
        <w:ind w:left="0" w:firstLine="360"/>
        <w:rPr>
          <w:rFonts w:ascii="Times New Roman" w:hAnsi="Times New Roman"/>
          <w:szCs w:val="22"/>
        </w:rPr>
      </w:pPr>
      <w:r w:rsidRPr="00C6508A">
        <w:rPr>
          <w:rFonts w:ascii="Times New Roman" w:hAnsi="Times New Roman"/>
          <w:szCs w:val="22"/>
        </w:rPr>
        <w:t xml:space="preserve">5.  As a corollary to the above comments, the proposed guidelines should unequivocally state that the use (including both administration and interpretation) of non-clinical assessment instruments for pre-employment screening, promotional uses, or training needs analysis OMPEs for current employees is not restricted to only licensed psychologists.  The ATP has long adhered to the principle that the use of any assessment should be governed by the requirement that the person possess the competency to use a particular assessment, whether by education or training, or both.  Thus, use of any assessments, whether for OMPE or otherwise, should NOT be linked to the holding of a particular degree or license.  Indeed, many pre-employment assessments, both clinical and non-clinical in nature, have been developed by non-PhD psychologists, so it would be ironic to prescribe their use by some artificial designation other than true competency.   </w:t>
      </w:r>
    </w:p>
    <w:p w14:paraId="106EA396" w14:textId="77777777" w:rsidR="00C6508A" w:rsidRPr="00C6508A" w:rsidRDefault="00C6508A" w:rsidP="00C6508A">
      <w:pPr>
        <w:ind w:firstLine="360"/>
        <w:rPr>
          <w:rFonts w:ascii="Times New Roman" w:hAnsi="Times New Roman"/>
          <w:sz w:val="22"/>
          <w:szCs w:val="22"/>
        </w:rPr>
      </w:pPr>
      <w:r w:rsidRPr="00C6508A">
        <w:rPr>
          <w:rFonts w:ascii="Times New Roman" w:hAnsi="Times New Roman"/>
          <w:sz w:val="22"/>
          <w:szCs w:val="22"/>
        </w:rPr>
        <w:t>Similarly, the proposed guidelines should explicitly demarcate the aspects of practice they are intended to address so as to not afford opportunity for misinterpretation or misapplication by non-psychologists.  Otherwise they may potentially have an unintended consequence of prompting calls for new regulatory or legislative restraints on the legitimate use of pre-employment assessments by psychologists in occupational evaluations.  Therefore, it seems relevant to include an additional guideline such as the one below.</w:t>
      </w:r>
    </w:p>
    <w:p w14:paraId="45DC0B7A" w14:textId="77777777" w:rsidR="00C6508A" w:rsidRDefault="00C6508A" w:rsidP="00C6508A">
      <w:pPr>
        <w:autoSpaceDE w:val="0"/>
        <w:autoSpaceDN w:val="0"/>
        <w:adjustRightInd w:val="0"/>
        <w:rPr>
          <w:rFonts w:ascii="Times New Roman" w:hAnsi="Times New Roman"/>
          <w:sz w:val="22"/>
          <w:szCs w:val="22"/>
        </w:rPr>
      </w:pPr>
    </w:p>
    <w:p w14:paraId="25B13099" w14:textId="77777777" w:rsidR="00C6508A" w:rsidRDefault="00C6508A" w:rsidP="00C6508A">
      <w:pPr>
        <w:autoSpaceDE w:val="0"/>
        <w:autoSpaceDN w:val="0"/>
        <w:adjustRightInd w:val="0"/>
        <w:rPr>
          <w:rFonts w:ascii="Times New Roman" w:hAnsi="Times New Roman"/>
          <w:sz w:val="22"/>
          <w:szCs w:val="22"/>
        </w:rPr>
      </w:pPr>
    </w:p>
    <w:p w14:paraId="19A218EE" w14:textId="77777777" w:rsidR="00C6508A" w:rsidRDefault="00C6508A" w:rsidP="00C6508A">
      <w:pPr>
        <w:autoSpaceDE w:val="0"/>
        <w:autoSpaceDN w:val="0"/>
        <w:adjustRightInd w:val="0"/>
        <w:rPr>
          <w:rFonts w:ascii="Times New Roman" w:hAnsi="Times New Roman"/>
          <w:sz w:val="22"/>
          <w:szCs w:val="22"/>
        </w:rPr>
      </w:pPr>
    </w:p>
    <w:p w14:paraId="668D8070" w14:textId="77777777" w:rsidR="00622A56" w:rsidRDefault="00622A56" w:rsidP="00C6508A">
      <w:pPr>
        <w:autoSpaceDE w:val="0"/>
        <w:autoSpaceDN w:val="0"/>
        <w:adjustRightInd w:val="0"/>
        <w:rPr>
          <w:rFonts w:ascii="Times New Roman" w:hAnsi="Times New Roman"/>
          <w:sz w:val="22"/>
          <w:szCs w:val="22"/>
        </w:rPr>
      </w:pPr>
    </w:p>
    <w:p w14:paraId="5D85381B" w14:textId="77777777" w:rsidR="00622A56" w:rsidRDefault="00622A56" w:rsidP="00C6508A">
      <w:pPr>
        <w:autoSpaceDE w:val="0"/>
        <w:autoSpaceDN w:val="0"/>
        <w:adjustRightInd w:val="0"/>
        <w:rPr>
          <w:rFonts w:ascii="Times New Roman" w:hAnsi="Times New Roman"/>
          <w:sz w:val="22"/>
          <w:szCs w:val="22"/>
        </w:rPr>
      </w:pPr>
    </w:p>
    <w:p w14:paraId="5AC64178" w14:textId="77777777" w:rsidR="00622A56" w:rsidRDefault="00622A56" w:rsidP="00C6508A">
      <w:pPr>
        <w:autoSpaceDE w:val="0"/>
        <w:autoSpaceDN w:val="0"/>
        <w:adjustRightInd w:val="0"/>
        <w:rPr>
          <w:rFonts w:ascii="Times New Roman" w:hAnsi="Times New Roman"/>
          <w:sz w:val="22"/>
          <w:szCs w:val="22"/>
        </w:rPr>
      </w:pPr>
    </w:p>
    <w:p w14:paraId="7AA3108A" w14:textId="77777777" w:rsidR="00C6508A" w:rsidRDefault="00C6508A" w:rsidP="00C6508A">
      <w:pPr>
        <w:autoSpaceDE w:val="0"/>
        <w:autoSpaceDN w:val="0"/>
        <w:adjustRightInd w:val="0"/>
        <w:rPr>
          <w:rFonts w:ascii="Times New Roman" w:hAnsi="Times New Roman"/>
          <w:sz w:val="22"/>
          <w:szCs w:val="22"/>
        </w:rPr>
      </w:pPr>
    </w:p>
    <w:p w14:paraId="7F8667A9" w14:textId="77777777" w:rsidR="00C6508A" w:rsidRPr="00C6508A" w:rsidRDefault="00C6508A" w:rsidP="00C6508A">
      <w:pPr>
        <w:autoSpaceDE w:val="0"/>
        <w:autoSpaceDN w:val="0"/>
        <w:adjustRightInd w:val="0"/>
        <w:rPr>
          <w:rFonts w:ascii="Times New Roman" w:hAnsi="Times New Roman"/>
          <w:sz w:val="22"/>
          <w:szCs w:val="22"/>
        </w:rPr>
      </w:pPr>
      <w:r w:rsidRPr="00C6508A">
        <w:rPr>
          <w:rFonts w:ascii="Times New Roman" w:hAnsi="Times New Roman"/>
          <w:sz w:val="22"/>
          <w:szCs w:val="22"/>
        </w:rPr>
        <w:lastRenderedPageBreak/>
        <w:t xml:space="preserve">Mary G. </w:t>
      </w:r>
      <w:proofErr w:type="spellStart"/>
      <w:r w:rsidRPr="00C6508A">
        <w:rPr>
          <w:rFonts w:ascii="Times New Roman" w:hAnsi="Times New Roman"/>
          <w:sz w:val="22"/>
          <w:szCs w:val="22"/>
        </w:rPr>
        <w:t>Hardiman</w:t>
      </w:r>
      <w:proofErr w:type="spellEnd"/>
    </w:p>
    <w:p w14:paraId="6243CB1C" w14:textId="77777777" w:rsidR="00C6508A" w:rsidRPr="00C6508A" w:rsidRDefault="00C6508A" w:rsidP="00C6508A">
      <w:pPr>
        <w:autoSpaceDE w:val="0"/>
        <w:autoSpaceDN w:val="0"/>
        <w:adjustRightInd w:val="0"/>
        <w:rPr>
          <w:rFonts w:ascii="Times New Roman" w:hAnsi="Times New Roman"/>
          <w:sz w:val="22"/>
          <w:szCs w:val="22"/>
        </w:rPr>
      </w:pPr>
      <w:r w:rsidRPr="00C6508A">
        <w:rPr>
          <w:rFonts w:ascii="Times New Roman" w:hAnsi="Times New Roman"/>
          <w:sz w:val="22"/>
          <w:szCs w:val="22"/>
        </w:rPr>
        <w:t>February 15, 2016</w:t>
      </w:r>
    </w:p>
    <w:p w14:paraId="5DD3CFCE" w14:textId="77777777" w:rsidR="00C6508A" w:rsidRPr="00C6508A" w:rsidRDefault="00C6508A" w:rsidP="00C6508A">
      <w:pPr>
        <w:autoSpaceDE w:val="0"/>
        <w:autoSpaceDN w:val="0"/>
        <w:adjustRightInd w:val="0"/>
        <w:rPr>
          <w:rFonts w:ascii="Times New Roman" w:hAnsi="Times New Roman"/>
          <w:sz w:val="22"/>
          <w:szCs w:val="22"/>
        </w:rPr>
      </w:pPr>
      <w:r w:rsidRPr="00C6508A">
        <w:rPr>
          <w:rFonts w:ascii="Times New Roman" w:hAnsi="Times New Roman"/>
          <w:sz w:val="22"/>
          <w:szCs w:val="22"/>
        </w:rPr>
        <w:t>Page Four</w:t>
      </w:r>
    </w:p>
    <w:p w14:paraId="21D7FB7D" w14:textId="77777777" w:rsidR="00C6508A" w:rsidRPr="00C6508A" w:rsidRDefault="00C6508A" w:rsidP="00C6508A">
      <w:pPr>
        <w:rPr>
          <w:rFonts w:ascii="Times New Roman" w:hAnsi="Times New Roman"/>
          <w:sz w:val="22"/>
          <w:szCs w:val="22"/>
        </w:rPr>
      </w:pPr>
    </w:p>
    <w:p w14:paraId="6C7797A2" w14:textId="02CA7463" w:rsidR="00C6508A" w:rsidRPr="00622A56" w:rsidRDefault="00C6508A" w:rsidP="00622A56">
      <w:pPr>
        <w:pStyle w:val="ListParagraph"/>
        <w:rPr>
          <w:rFonts w:ascii="Times New Roman" w:hAnsi="Times New Roman"/>
          <w:szCs w:val="22"/>
        </w:rPr>
      </w:pPr>
      <w:r w:rsidRPr="00C6508A">
        <w:rPr>
          <w:rFonts w:ascii="Times New Roman" w:hAnsi="Times New Roman"/>
          <w:szCs w:val="22"/>
        </w:rPr>
        <w:t>“</w:t>
      </w:r>
      <w:r w:rsidRPr="00C6508A">
        <w:rPr>
          <w:rFonts w:ascii="Times New Roman" w:hAnsi="Times New Roman"/>
          <w:b/>
          <w:szCs w:val="22"/>
        </w:rPr>
        <w:t>14.</w:t>
      </w:r>
      <w:r w:rsidRPr="00C6508A">
        <w:rPr>
          <w:rFonts w:ascii="Times New Roman" w:hAnsi="Times New Roman"/>
          <w:szCs w:val="22"/>
        </w:rPr>
        <w:t xml:space="preserve"> Nothing in these Guidelines concerning clinical psychological assessment should be taken as prohibiting psychologists, especially those with relevant I/O training, from performing their customary efforts to gather information regarding specific job functions, duties, responsibilities, and working conditions, or their customary pre-employment or post-employment assessment of an individual's knowledge, skills, behaviors, and performance attributes associated with effective or counterproductive job performance.”</w:t>
      </w:r>
    </w:p>
    <w:p w14:paraId="430118C3" w14:textId="77777777" w:rsidR="00C6508A" w:rsidRPr="00C6508A" w:rsidRDefault="00C6508A" w:rsidP="00C6508A">
      <w:pPr>
        <w:pStyle w:val="ListParagraph"/>
        <w:ind w:left="0"/>
        <w:rPr>
          <w:rFonts w:ascii="Times New Roman" w:hAnsi="Times New Roman"/>
          <w:b/>
          <w:szCs w:val="22"/>
          <w:u w:val="single"/>
        </w:rPr>
      </w:pPr>
      <w:r w:rsidRPr="00C6508A">
        <w:rPr>
          <w:rFonts w:ascii="Times New Roman" w:hAnsi="Times New Roman"/>
          <w:b/>
          <w:szCs w:val="22"/>
          <w:u w:val="single"/>
        </w:rPr>
        <w:t>Conclusion</w:t>
      </w:r>
    </w:p>
    <w:p w14:paraId="1C1FD4DF" w14:textId="77777777" w:rsidR="00C6508A" w:rsidRPr="00C6508A" w:rsidRDefault="00C6508A" w:rsidP="00C6508A">
      <w:pPr>
        <w:pStyle w:val="ListParagraph"/>
        <w:ind w:left="0"/>
        <w:rPr>
          <w:rFonts w:ascii="Times New Roman" w:hAnsi="Times New Roman"/>
          <w:b/>
          <w:szCs w:val="22"/>
          <w:u w:val="single"/>
        </w:rPr>
      </w:pPr>
    </w:p>
    <w:p w14:paraId="0C36354C" w14:textId="77777777" w:rsidR="00C6508A" w:rsidRPr="00C6508A" w:rsidRDefault="00C6508A" w:rsidP="00C6508A">
      <w:pPr>
        <w:pStyle w:val="ListParagraph"/>
        <w:ind w:left="0" w:firstLine="360"/>
        <w:rPr>
          <w:rFonts w:ascii="Times New Roman" w:hAnsi="Times New Roman"/>
          <w:szCs w:val="22"/>
        </w:rPr>
      </w:pPr>
      <w:r w:rsidRPr="00C6508A">
        <w:rPr>
          <w:rFonts w:ascii="Times New Roman" w:hAnsi="Times New Roman"/>
          <w:szCs w:val="22"/>
        </w:rPr>
        <w:t>The Association of Test Publishers applauds the work of the Committee and appreciates this opportunity to provide input on the proposed guidelines.  We hope these comments will stimulate further discussions by the Committee to develop additional language to address our comments.  The ATP stands ready to provide assistance in that work if requested.</w:t>
      </w:r>
    </w:p>
    <w:p w14:paraId="5CBE732B" w14:textId="77777777" w:rsidR="00C6508A" w:rsidRDefault="00C6508A" w:rsidP="00C6508A">
      <w:pPr>
        <w:rPr>
          <w:rFonts w:ascii="Times New Roman" w:hAnsi="Times New Roman"/>
          <w:sz w:val="22"/>
          <w:szCs w:val="22"/>
        </w:rPr>
      </w:pPr>
    </w:p>
    <w:p w14:paraId="16A766A0" w14:textId="77777777" w:rsidR="00C6508A" w:rsidRPr="00C6508A" w:rsidRDefault="00C6508A" w:rsidP="00C6508A">
      <w:pPr>
        <w:rPr>
          <w:rFonts w:ascii="Times New Roman" w:hAnsi="Times New Roman"/>
          <w:sz w:val="22"/>
          <w:szCs w:val="22"/>
        </w:rPr>
      </w:pPr>
      <w:r w:rsidRPr="00C6508A">
        <w:rPr>
          <w:rFonts w:ascii="Times New Roman" w:hAnsi="Times New Roman"/>
          <w:sz w:val="22"/>
          <w:szCs w:val="22"/>
        </w:rPr>
        <w:t>Sincerely,</w:t>
      </w:r>
    </w:p>
    <w:p w14:paraId="2F18BC93" w14:textId="77777777" w:rsidR="00C6508A" w:rsidRPr="00C6508A" w:rsidRDefault="00C6508A" w:rsidP="00C6508A">
      <w:pPr>
        <w:rPr>
          <w:rFonts w:ascii="Times New Roman" w:hAnsi="Times New Roman"/>
          <w:sz w:val="22"/>
          <w:szCs w:val="22"/>
        </w:rPr>
      </w:pPr>
    </w:p>
    <w:p w14:paraId="11552E56" w14:textId="2C958926" w:rsidR="00C6508A" w:rsidRDefault="00C6508A" w:rsidP="00C6508A">
      <w:pPr>
        <w:rPr>
          <w:rFonts w:ascii="Times New Roman" w:hAnsi="Times New Roman"/>
          <w:sz w:val="22"/>
          <w:szCs w:val="22"/>
        </w:rPr>
      </w:pPr>
      <w:r>
        <w:rPr>
          <w:rFonts w:ascii="Times New Roman" w:hAnsi="Times New Roman"/>
          <w:noProof/>
          <w:sz w:val="22"/>
          <w:szCs w:val="22"/>
        </w:rPr>
        <w:drawing>
          <wp:inline distT="0" distB="0" distL="0" distR="0" wp14:anchorId="3CAED04D" wp14:editId="3822DD6E">
            <wp:extent cx="2580640" cy="575945"/>
            <wp:effectExtent l="0" t="0" r="10160" b="8255"/>
            <wp:docPr id="3" name="Picture 3" descr="ATP%20Documents/Harris%20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P%20Documents/Harris%20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0640" cy="575945"/>
                    </a:xfrm>
                    <a:prstGeom prst="rect">
                      <a:avLst/>
                    </a:prstGeom>
                    <a:noFill/>
                    <a:ln>
                      <a:noFill/>
                    </a:ln>
                  </pic:spPr>
                </pic:pic>
              </a:graphicData>
            </a:graphic>
          </wp:inline>
        </w:drawing>
      </w:r>
    </w:p>
    <w:p w14:paraId="3D862FC7" w14:textId="77777777" w:rsidR="00C6508A" w:rsidRDefault="00C6508A" w:rsidP="00C6508A">
      <w:pPr>
        <w:rPr>
          <w:rFonts w:ascii="Times New Roman" w:hAnsi="Times New Roman"/>
          <w:sz w:val="22"/>
          <w:szCs w:val="22"/>
        </w:rPr>
      </w:pPr>
    </w:p>
    <w:p w14:paraId="0BDF5A6F" w14:textId="77777777" w:rsidR="00C6508A" w:rsidRDefault="00C6508A" w:rsidP="00C6508A">
      <w:pPr>
        <w:rPr>
          <w:rFonts w:ascii="Times New Roman" w:hAnsi="Times New Roman"/>
          <w:sz w:val="22"/>
          <w:szCs w:val="22"/>
        </w:rPr>
      </w:pPr>
      <w:r w:rsidRPr="00C6508A">
        <w:rPr>
          <w:rFonts w:ascii="Times New Roman" w:hAnsi="Times New Roman"/>
          <w:sz w:val="22"/>
          <w:szCs w:val="22"/>
        </w:rPr>
        <w:t xml:space="preserve">William G. Harris, PhD                                                                                                                         </w:t>
      </w:r>
    </w:p>
    <w:p w14:paraId="630732EF" w14:textId="129D08DA" w:rsidR="00C6508A" w:rsidRPr="00C6508A" w:rsidRDefault="00C6508A" w:rsidP="00C6508A">
      <w:pPr>
        <w:rPr>
          <w:rFonts w:ascii="Times New Roman" w:hAnsi="Times New Roman"/>
          <w:sz w:val="22"/>
          <w:szCs w:val="22"/>
        </w:rPr>
      </w:pPr>
      <w:r w:rsidRPr="00C6508A">
        <w:rPr>
          <w:rFonts w:ascii="Times New Roman" w:hAnsi="Times New Roman"/>
          <w:sz w:val="22"/>
          <w:szCs w:val="22"/>
        </w:rPr>
        <w:t>CEO</w:t>
      </w:r>
    </w:p>
    <w:p w14:paraId="2639EB5E" w14:textId="77777777" w:rsidR="00C6508A" w:rsidRPr="00C6508A" w:rsidRDefault="00C6508A" w:rsidP="00C6508A">
      <w:pPr>
        <w:rPr>
          <w:rFonts w:ascii="Times New Roman" w:hAnsi="Times New Roman"/>
          <w:sz w:val="22"/>
          <w:szCs w:val="22"/>
        </w:rPr>
      </w:pPr>
    </w:p>
    <w:p w14:paraId="54A953FE" w14:textId="33C4470F" w:rsidR="00176F76" w:rsidRPr="00C6508A" w:rsidRDefault="00176F76" w:rsidP="00C6508A">
      <w:pPr>
        <w:rPr>
          <w:rFonts w:ascii="Times New Roman" w:hAnsi="Times New Roman"/>
          <w:sz w:val="22"/>
          <w:szCs w:val="22"/>
        </w:rPr>
      </w:pPr>
    </w:p>
    <w:sectPr w:rsidR="00176F76" w:rsidRPr="00C6508A">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FB8BB6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C5BE975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6F50BAC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E81AB22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E3F0EA5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1B68BE6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D258FCEA"/>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2D48A1B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1970611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984C30A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C45EFFFA"/>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C938DFA2"/>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DF1E39FE"/>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multilevel"/>
    <w:tmpl w:val="456CA53A"/>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F"/>
    <w:multiLevelType w:val="multilevel"/>
    <w:tmpl w:val="50F2DE2C"/>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0"/>
    <w:multiLevelType w:val="multilevel"/>
    <w:tmpl w:val="D86E8E7A"/>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1"/>
    <w:multiLevelType w:val="multilevel"/>
    <w:tmpl w:val="6E346086"/>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2"/>
    <w:multiLevelType w:val="multilevel"/>
    <w:tmpl w:val="58DC6F6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13"/>
    <w:multiLevelType w:val="multilevel"/>
    <w:tmpl w:val="3542919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4"/>
    <w:multiLevelType w:val="multilevel"/>
    <w:tmpl w:val="6808694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15"/>
    <w:multiLevelType w:val="multilevel"/>
    <w:tmpl w:val="CB82B5A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16"/>
    <w:multiLevelType w:val="multilevel"/>
    <w:tmpl w:val="40BE1E1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7"/>
    <w:multiLevelType w:val="multilevel"/>
    <w:tmpl w:val="922E8BC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0018"/>
    <w:multiLevelType w:val="multilevel"/>
    <w:tmpl w:val="4FBA010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19"/>
    <w:multiLevelType w:val="multilevel"/>
    <w:tmpl w:val="6CD47C8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A"/>
    <w:multiLevelType w:val="multilevel"/>
    <w:tmpl w:val="0CDCD27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000001B"/>
    <w:multiLevelType w:val="multilevel"/>
    <w:tmpl w:val="80662D6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7422BD7"/>
    <w:multiLevelType w:val="hybridMultilevel"/>
    <w:tmpl w:val="48322158"/>
    <w:lvl w:ilvl="0" w:tplc="A7923DA6">
      <w:start w:val="1"/>
      <w:numFmt w:val="bullet"/>
      <w:lvlText w:val=""/>
      <w:lvlJc w:val="left"/>
      <w:pPr>
        <w:ind w:left="720" w:hanging="360"/>
      </w:pPr>
      <w:rPr>
        <w:rFonts w:ascii="Symbol" w:hAnsi="Symbol" w:hint="default"/>
      </w:rPr>
    </w:lvl>
    <w:lvl w:ilvl="1" w:tplc="9236CA08" w:tentative="1">
      <w:start w:val="1"/>
      <w:numFmt w:val="bullet"/>
      <w:lvlText w:val="o"/>
      <w:lvlJc w:val="left"/>
      <w:pPr>
        <w:ind w:left="1440" w:hanging="360"/>
      </w:pPr>
      <w:rPr>
        <w:rFonts w:ascii="Courier New" w:hAnsi="Courier New" w:cs="SimSun" w:hint="default"/>
      </w:rPr>
    </w:lvl>
    <w:lvl w:ilvl="2" w:tplc="0B9A5444" w:tentative="1">
      <w:start w:val="1"/>
      <w:numFmt w:val="bullet"/>
      <w:lvlText w:val=""/>
      <w:lvlJc w:val="left"/>
      <w:pPr>
        <w:ind w:left="2160" w:hanging="360"/>
      </w:pPr>
      <w:rPr>
        <w:rFonts w:ascii="Wingdings" w:hAnsi="Wingdings" w:hint="default"/>
      </w:rPr>
    </w:lvl>
    <w:lvl w:ilvl="3" w:tplc="47560ADC" w:tentative="1">
      <w:start w:val="1"/>
      <w:numFmt w:val="bullet"/>
      <w:lvlText w:val=""/>
      <w:lvlJc w:val="left"/>
      <w:pPr>
        <w:ind w:left="2880" w:hanging="360"/>
      </w:pPr>
      <w:rPr>
        <w:rFonts w:ascii="Symbol" w:hAnsi="Symbol" w:hint="default"/>
      </w:rPr>
    </w:lvl>
    <w:lvl w:ilvl="4" w:tplc="DE0C1320" w:tentative="1">
      <w:start w:val="1"/>
      <w:numFmt w:val="bullet"/>
      <w:lvlText w:val="o"/>
      <w:lvlJc w:val="left"/>
      <w:pPr>
        <w:ind w:left="3600" w:hanging="360"/>
      </w:pPr>
      <w:rPr>
        <w:rFonts w:ascii="Courier New" w:hAnsi="Courier New" w:cs="SimSun" w:hint="default"/>
      </w:rPr>
    </w:lvl>
    <w:lvl w:ilvl="5" w:tplc="2FD20E16" w:tentative="1">
      <w:start w:val="1"/>
      <w:numFmt w:val="bullet"/>
      <w:lvlText w:val=""/>
      <w:lvlJc w:val="left"/>
      <w:pPr>
        <w:ind w:left="4320" w:hanging="360"/>
      </w:pPr>
      <w:rPr>
        <w:rFonts w:ascii="Wingdings" w:hAnsi="Wingdings" w:hint="default"/>
      </w:rPr>
    </w:lvl>
    <w:lvl w:ilvl="6" w:tplc="D7C659CC" w:tentative="1">
      <w:start w:val="1"/>
      <w:numFmt w:val="bullet"/>
      <w:lvlText w:val=""/>
      <w:lvlJc w:val="left"/>
      <w:pPr>
        <w:ind w:left="5040" w:hanging="360"/>
      </w:pPr>
      <w:rPr>
        <w:rFonts w:ascii="Symbol" w:hAnsi="Symbol" w:hint="default"/>
      </w:rPr>
    </w:lvl>
    <w:lvl w:ilvl="7" w:tplc="785CE1DA" w:tentative="1">
      <w:start w:val="1"/>
      <w:numFmt w:val="bullet"/>
      <w:lvlText w:val="o"/>
      <w:lvlJc w:val="left"/>
      <w:pPr>
        <w:ind w:left="5760" w:hanging="360"/>
      </w:pPr>
      <w:rPr>
        <w:rFonts w:ascii="Courier New" w:hAnsi="Courier New" w:cs="SimSun" w:hint="default"/>
      </w:rPr>
    </w:lvl>
    <w:lvl w:ilvl="8" w:tplc="24CE7CC0" w:tentative="1">
      <w:start w:val="1"/>
      <w:numFmt w:val="bullet"/>
      <w:lvlText w:val=""/>
      <w:lvlJc w:val="left"/>
      <w:pPr>
        <w:ind w:left="6480" w:hanging="360"/>
      </w:pPr>
      <w:rPr>
        <w:rFonts w:ascii="Wingdings" w:hAnsi="Wingdings" w:hint="default"/>
      </w:rPr>
    </w:lvl>
  </w:abstractNum>
  <w:abstractNum w:abstractNumId="28">
    <w:nsid w:val="3BB41909"/>
    <w:multiLevelType w:val="hybridMultilevel"/>
    <w:tmpl w:val="53FC4DF8"/>
    <w:lvl w:ilvl="0" w:tplc="C200F944">
      <w:start w:val="1"/>
      <w:numFmt w:val="bullet"/>
      <w:lvlText w:val=""/>
      <w:lvlJc w:val="left"/>
      <w:pPr>
        <w:ind w:left="720" w:hanging="360"/>
      </w:pPr>
      <w:rPr>
        <w:rFonts w:ascii="Symbol" w:hAnsi="Symbol" w:cs="Symbol" w:hint="default"/>
      </w:rPr>
    </w:lvl>
    <w:lvl w:ilvl="1" w:tplc="3484025C">
      <w:start w:val="1"/>
      <w:numFmt w:val="bullet"/>
      <w:lvlText w:val="o"/>
      <w:lvlJc w:val="left"/>
      <w:pPr>
        <w:ind w:left="1440" w:hanging="360"/>
      </w:pPr>
      <w:rPr>
        <w:rFonts w:ascii="Courier New" w:hAnsi="Courier New" w:cs="SimSun" w:hint="default"/>
      </w:rPr>
    </w:lvl>
    <w:lvl w:ilvl="2" w:tplc="E6584986">
      <w:start w:val="1"/>
      <w:numFmt w:val="bullet"/>
      <w:lvlText w:val=""/>
      <w:lvlJc w:val="left"/>
      <w:pPr>
        <w:ind w:left="2160" w:hanging="360"/>
      </w:pPr>
      <w:rPr>
        <w:rFonts w:ascii="Wingdings" w:hAnsi="Wingdings" w:cs="Courier New" w:hint="default"/>
      </w:rPr>
    </w:lvl>
    <w:lvl w:ilvl="3" w:tplc="0BA64554" w:tentative="1">
      <w:start w:val="1"/>
      <w:numFmt w:val="bullet"/>
      <w:lvlText w:val=""/>
      <w:lvlJc w:val="left"/>
      <w:pPr>
        <w:ind w:left="2880" w:hanging="360"/>
      </w:pPr>
      <w:rPr>
        <w:rFonts w:ascii="Symbol" w:hAnsi="Symbol" w:cs="Symbol" w:hint="default"/>
      </w:rPr>
    </w:lvl>
    <w:lvl w:ilvl="4" w:tplc="15D4ACD8" w:tentative="1">
      <w:start w:val="1"/>
      <w:numFmt w:val="bullet"/>
      <w:lvlText w:val="o"/>
      <w:lvlJc w:val="left"/>
      <w:pPr>
        <w:ind w:left="3600" w:hanging="360"/>
      </w:pPr>
      <w:rPr>
        <w:rFonts w:ascii="Courier New" w:hAnsi="Courier New" w:cs="SimSun" w:hint="default"/>
      </w:rPr>
    </w:lvl>
    <w:lvl w:ilvl="5" w:tplc="5978AC6E" w:tentative="1">
      <w:start w:val="1"/>
      <w:numFmt w:val="bullet"/>
      <w:lvlText w:val=""/>
      <w:lvlJc w:val="left"/>
      <w:pPr>
        <w:ind w:left="4320" w:hanging="360"/>
      </w:pPr>
      <w:rPr>
        <w:rFonts w:ascii="Wingdings" w:hAnsi="Wingdings" w:cs="Courier New" w:hint="default"/>
      </w:rPr>
    </w:lvl>
    <w:lvl w:ilvl="6" w:tplc="A142EA9E" w:tentative="1">
      <w:start w:val="1"/>
      <w:numFmt w:val="bullet"/>
      <w:lvlText w:val=""/>
      <w:lvlJc w:val="left"/>
      <w:pPr>
        <w:ind w:left="5040" w:hanging="360"/>
      </w:pPr>
      <w:rPr>
        <w:rFonts w:ascii="Symbol" w:hAnsi="Symbol" w:cs="Symbol" w:hint="default"/>
      </w:rPr>
    </w:lvl>
    <w:lvl w:ilvl="7" w:tplc="6694BFD2" w:tentative="1">
      <w:start w:val="1"/>
      <w:numFmt w:val="bullet"/>
      <w:lvlText w:val="o"/>
      <w:lvlJc w:val="left"/>
      <w:pPr>
        <w:ind w:left="5760" w:hanging="360"/>
      </w:pPr>
      <w:rPr>
        <w:rFonts w:ascii="Courier New" w:hAnsi="Courier New" w:cs="SimSun" w:hint="default"/>
      </w:rPr>
    </w:lvl>
    <w:lvl w:ilvl="8" w:tplc="81C4C6F6" w:tentative="1">
      <w:start w:val="1"/>
      <w:numFmt w:val="bullet"/>
      <w:lvlText w:val=""/>
      <w:lvlJc w:val="left"/>
      <w:pPr>
        <w:ind w:left="6480" w:hanging="360"/>
      </w:pPr>
      <w:rPr>
        <w:rFonts w:ascii="Wingdings" w:hAnsi="Wingdings" w:cs="Courier New" w:hint="default"/>
      </w:rPr>
    </w:lvl>
  </w:abstractNum>
  <w:abstractNum w:abstractNumId="29">
    <w:nsid w:val="4CD83D5B"/>
    <w:multiLevelType w:val="hybridMultilevel"/>
    <w:tmpl w:val="F5C8B7BC"/>
    <w:lvl w:ilvl="0" w:tplc="1860A4B6">
      <w:start w:val="1"/>
      <w:numFmt w:val="decimal"/>
      <w:lvlText w:val="%1."/>
      <w:lvlJc w:val="left"/>
      <w:pPr>
        <w:ind w:left="720" w:hanging="360"/>
      </w:pPr>
    </w:lvl>
    <w:lvl w:ilvl="1" w:tplc="59D49F72">
      <w:start w:val="1"/>
      <w:numFmt w:val="lowerLetter"/>
      <w:lvlText w:val="%2."/>
      <w:lvlJc w:val="left"/>
      <w:pPr>
        <w:ind w:left="1440" w:hanging="360"/>
      </w:pPr>
    </w:lvl>
    <w:lvl w:ilvl="2" w:tplc="43486DD8" w:tentative="1">
      <w:start w:val="1"/>
      <w:numFmt w:val="lowerRoman"/>
      <w:lvlText w:val="%3."/>
      <w:lvlJc w:val="right"/>
      <w:pPr>
        <w:ind w:left="2160" w:hanging="180"/>
      </w:pPr>
    </w:lvl>
    <w:lvl w:ilvl="3" w:tplc="5292451A" w:tentative="1">
      <w:start w:val="1"/>
      <w:numFmt w:val="decimal"/>
      <w:lvlText w:val="%4."/>
      <w:lvlJc w:val="left"/>
      <w:pPr>
        <w:ind w:left="2880" w:hanging="360"/>
      </w:pPr>
    </w:lvl>
    <w:lvl w:ilvl="4" w:tplc="56C40752" w:tentative="1">
      <w:start w:val="1"/>
      <w:numFmt w:val="lowerLetter"/>
      <w:lvlText w:val="%5."/>
      <w:lvlJc w:val="left"/>
      <w:pPr>
        <w:ind w:left="3600" w:hanging="360"/>
      </w:pPr>
    </w:lvl>
    <w:lvl w:ilvl="5" w:tplc="2AA6AC86" w:tentative="1">
      <w:start w:val="1"/>
      <w:numFmt w:val="lowerRoman"/>
      <w:lvlText w:val="%6."/>
      <w:lvlJc w:val="right"/>
      <w:pPr>
        <w:ind w:left="4320" w:hanging="180"/>
      </w:pPr>
    </w:lvl>
    <w:lvl w:ilvl="6" w:tplc="3DA8C75C" w:tentative="1">
      <w:start w:val="1"/>
      <w:numFmt w:val="decimal"/>
      <w:lvlText w:val="%7."/>
      <w:lvlJc w:val="left"/>
      <w:pPr>
        <w:ind w:left="5040" w:hanging="360"/>
      </w:pPr>
    </w:lvl>
    <w:lvl w:ilvl="7" w:tplc="AD285A3C" w:tentative="1">
      <w:start w:val="1"/>
      <w:numFmt w:val="lowerLetter"/>
      <w:lvlText w:val="%8."/>
      <w:lvlJc w:val="left"/>
      <w:pPr>
        <w:ind w:left="5760" w:hanging="360"/>
      </w:pPr>
    </w:lvl>
    <w:lvl w:ilvl="8" w:tplc="1B828BAA" w:tentative="1">
      <w:start w:val="1"/>
      <w:numFmt w:val="lowerRoman"/>
      <w:lvlText w:val="%9."/>
      <w:lvlJc w:val="right"/>
      <w:pPr>
        <w:ind w:left="6480" w:hanging="180"/>
      </w:pPr>
    </w:lvl>
  </w:abstractNum>
  <w:abstractNum w:abstractNumId="30">
    <w:nsid w:val="57C57581"/>
    <w:multiLevelType w:val="hybridMultilevel"/>
    <w:tmpl w:val="9F18D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762FFA"/>
    <w:multiLevelType w:val="hybridMultilevel"/>
    <w:tmpl w:val="A6FED480"/>
    <w:lvl w:ilvl="0" w:tplc="68B41F80">
      <w:start w:val="1"/>
      <w:numFmt w:val="bullet"/>
      <w:lvlText w:val=""/>
      <w:lvlJc w:val="left"/>
      <w:pPr>
        <w:ind w:left="720" w:hanging="360"/>
      </w:pPr>
      <w:rPr>
        <w:rFonts w:ascii="Symbol" w:hAnsi="Symbol" w:hint="default"/>
      </w:rPr>
    </w:lvl>
    <w:lvl w:ilvl="1" w:tplc="F4F624D4" w:tentative="1">
      <w:start w:val="1"/>
      <w:numFmt w:val="bullet"/>
      <w:lvlText w:val="o"/>
      <w:lvlJc w:val="left"/>
      <w:pPr>
        <w:ind w:left="1440" w:hanging="360"/>
      </w:pPr>
      <w:rPr>
        <w:rFonts w:ascii="Courier New" w:hAnsi="Courier New" w:cs="SimSun" w:hint="default"/>
      </w:rPr>
    </w:lvl>
    <w:lvl w:ilvl="2" w:tplc="501A6878" w:tentative="1">
      <w:start w:val="1"/>
      <w:numFmt w:val="bullet"/>
      <w:lvlText w:val=""/>
      <w:lvlJc w:val="left"/>
      <w:pPr>
        <w:ind w:left="2160" w:hanging="360"/>
      </w:pPr>
      <w:rPr>
        <w:rFonts w:ascii="Wingdings" w:hAnsi="Wingdings" w:hint="default"/>
      </w:rPr>
    </w:lvl>
    <w:lvl w:ilvl="3" w:tplc="1968F138" w:tentative="1">
      <w:start w:val="1"/>
      <w:numFmt w:val="bullet"/>
      <w:lvlText w:val=""/>
      <w:lvlJc w:val="left"/>
      <w:pPr>
        <w:ind w:left="2880" w:hanging="360"/>
      </w:pPr>
      <w:rPr>
        <w:rFonts w:ascii="Symbol" w:hAnsi="Symbol" w:hint="default"/>
      </w:rPr>
    </w:lvl>
    <w:lvl w:ilvl="4" w:tplc="81FE6802" w:tentative="1">
      <w:start w:val="1"/>
      <w:numFmt w:val="bullet"/>
      <w:lvlText w:val="o"/>
      <w:lvlJc w:val="left"/>
      <w:pPr>
        <w:ind w:left="3600" w:hanging="360"/>
      </w:pPr>
      <w:rPr>
        <w:rFonts w:ascii="Courier New" w:hAnsi="Courier New" w:cs="SimSun" w:hint="default"/>
      </w:rPr>
    </w:lvl>
    <w:lvl w:ilvl="5" w:tplc="AD484E92" w:tentative="1">
      <w:start w:val="1"/>
      <w:numFmt w:val="bullet"/>
      <w:lvlText w:val=""/>
      <w:lvlJc w:val="left"/>
      <w:pPr>
        <w:ind w:left="4320" w:hanging="360"/>
      </w:pPr>
      <w:rPr>
        <w:rFonts w:ascii="Wingdings" w:hAnsi="Wingdings" w:hint="default"/>
      </w:rPr>
    </w:lvl>
    <w:lvl w:ilvl="6" w:tplc="9B9E6DB2" w:tentative="1">
      <w:start w:val="1"/>
      <w:numFmt w:val="bullet"/>
      <w:lvlText w:val=""/>
      <w:lvlJc w:val="left"/>
      <w:pPr>
        <w:ind w:left="5040" w:hanging="360"/>
      </w:pPr>
      <w:rPr>
        <w:rFonts w:ascii="Symbol" w:hAnsi="Symbol" w:hint="default"/>
      </w:rPr>
    </w:lvl>
    <w:lvl w:ilvl="7" w:tplc="B23C2C3A" w:tentative="1">
      <w:start w:val="1"/>
      <w:numFmt w:val="bullet"/>
      <w:lvlText w:val="o"/>
      <w:lvlJc w:val="left"/>
      <w:pPr>
        <w:ind w:left="5760" w:hanging="360"/>
      </w:pPr>
      <w:rPr>
        <w:rFonts w:ascii="Courier New" w:hAnsi="Courier New" w:cs="SimSun" w:hint="default"/>
      </w:rPr>
    </w:lvl>
    <w:lvl w:ilvl="8" w:tplc="FCFAA868" w:tentative="1">
      <w:start w:val="1"/>
      <w:numFmt w:val="bullet"/>
      <w:lvlText w:val=""/>
      <w:lvlJc w:val="left"/>
      <w:pPr>
        <w:ind w:left="6480" w:hanging="360"/>
      </w:pPr>
      <w:rPr>
        <w:rFonts w:ascii="Wingdings" w:hAnsi="Wingdings" w:hint="default"/>
      </w:rPr>
    </w:lvl>
  </w:abstractNum>
  <w:abstractNum w:abstractNumId="32">
    <w:nsid w:val="66BF7389"/>
    <w:multiLevelType w:val="hybridMultilevel"/>
    <w:tmpl w:val="4A3072F2"/>
    <w:lvl w:ilvl="0" w:tplc="7C78955C">
      <w:start w:val="1"/>
      <w:numFmt w:val="bullet"/>
      <w:lvlText w:val=""/>
      <w:lvlJc w:val="left"/>
      <w:pPr>
        <w:ind w:left="720" w:hanging="360"/>
      </w:pPr>
      <w:rPr>
        <w:rFonts w:ascii="Symbol" w:hAnsi="Symbol" w:hint="default"/>
      </w:rPr>
    </w:lvl>
    <w:lvl w:ilvl="1" w:tplc="8B7C7EF2" w:tentative="1">
      <w:start w:val="1"/>
      <w:numFmt w:val="bullet"/>
      <w:lvlText w:val="o"/>
      <w:lvlJc w:val="left"/>
      <w:pPr>
        <w:ind w:left="1440" w:hanging="360"/>
      </w:pPr>
      <w:rPr>
        <w:rFonts w:ascii="Courier New" w:hAnsi="Courier New" w:cs="SimSun" w:hint="default"/>
      </w:rPr>
    </w:lvl>
    <w:lvl w:ilvl="2" w:tplc="7F2C1A92" w:tentative="1">
      <w:start w:val="1"/>
      <w:numFmt w:val="bullet"/>
      <w:lvlText w:val=""/>
      <w:lvlJc w:val="left"/>
      <w:pPr>
        <w:ind w:left="2160" w:hanging="360"/>
      </w:pPr>
      <w:rPr>
        <w:rFonts w:ascii="Wingdings" w:hAnsi="Wingdings" w:hint="default"/>
      </w:rPr>
    </w:lvl>
    <w:lvl w:ilvl="3" w:tplc="AE3A72F8" w:tentative="1">
      <w:start w:val="1"/>
      <w:numFmt w:val="bullet"/>
      <w:lvlText w:val=""/>
      <w:lvlJc w:val="left"/>
      <w:pPr>
        <w:ind w:left="2880" w:hanging="360"/>
      </w:pPr>
      <w:rPr>
        <w:rFonts w:ascii="Symbol" w:hAnsi="Symbol" w:hint="default"/>
      </w:rPr>
    </w:lvl>
    <w:lvl w:ilvl="4" w:tplc="0DF0FFDC" w:tentative="1">
      <w:start w:val="1"/>
      <w:numFmt w:val="bullet"/>
      <w:lvlText w:val="o"/>
      <w:lvlJc w:val="left"/>
      <w:pPr>
        <w:ind w:left="3600" w:hanging="360"/>
      </w:pPr>
      <w:rPr>
        <w:rFonts w:ascii="Courier New" w:hAnsi="Courier New" w:cs="SimSun" w:hint="default"/>
      </w:rPr>
    </w:lvl>
    <w:lvl w:ilvl="5" w:tplc="2BB87C44" w:tentative="1">
      <w:start w:val="1"/>
      <w:numFmt w:val="bullet"/>
      <w:lvlText w:val=""/>
      <w:lvlJc w:val="left"/>
      <w:pPr>
        <w:ind w:left="4320" w:hanging="360"/>
      </w:pPr>
      <w:rPr>
        <w:rFonts w:ascii="Wingdings" w:hAnsi="Wingdings" w:hint="default"/>
      </w:rPr>
    </w:lvl>
    <w:lvl w:ilvl="6" w:tplc="C5607234" w:tentative="1">
      <w:start w:val="1"/>
      <w:numFmt w:val="bullet"/>
      <w:lvlText w:val=""/>
      <w:lvlJc w:val="left"/>
      <w:pPr>
        <w:ind w:left="5040" w:hanging="360"/>
      </w:pPr>
      <w:rPr>
        <w:rFonts w:ascii="Symbol" w:hAnsi="Symbol" w:hint="default"/>
      </w:rPr>
    </w:lvl>
    <w:lvl w:ilvl="7" w:tplc="BCF6BAEC" w:tentative="1">
      <w:start w:val="1"/>
      <w:numFmt w:val="bullet"/>
      <w:lvlText w:val="o"/>
      <w:lvlJc w:val="left"/>
      <w:pPr>
        <w:ind w:left="5760" w:hanging="360"/>
      </w:pPr>
      <w:rPr>
        <w:rFonts w:ascii="Courier New" w:hAnsi="Courier New" w:cs="SimSun" w:hint="default"/>
      </w:rPr>
    </w:lvl>
    <w:lvl w:ilvl="8" w:tplc="889E8FBC" w:tentative="1">
      <w:start w:val="1"/>
      <w:numFmt w:val="bullet"/>
      <w:lvlText w:val=""/>
      <w:lvlJc w:val="left"/>
      <w:pPr>
        <w:ind w:left="6480" w:hanging="360"/>
      </w:pPr>
      <w:rPr>
        <w:rFonts w:ascii="Wingdings" w:hAnsi="Wingdings" w:hint="default"/>
      </w:rPr>
    </w:lvl>
  </w:abstractNum>
  <w:abstractNum w:abstractNumId="33">
    <w:nsid w:val="691777D0"/>
    <w:multiLevelType w:val="hybridMultilevel"/>
    <w:tmpl w:val="69928EAA"/>
    <w:lvl w:ilvl="0" w:tplc="EDA4659C">
      <w:start w:val="1"/>
      <w:numFmt w:val="bullet"/>
      <w:lvlText w:val=""/>
      <w:lvlJc w:val="left"/>
      <w:pPr>
        <w:ind w:left="720" w:hanging="360"/>
      </w:pPr>
      <w:rPr>
        <w:rFonts w:ascii="Symbol" w:hAnsi="Symbol" w:hint="default"/>
      </w:rPr>
    </w:lvl>
    <w:lvl w:ilvl="1" w:tplc="7CD8D752" w:tentative="1">
      <w:start w:val="1"/>
      <w:numFmt w:val="bullet"/>
      <w:lvlText w:val="o"/>
      <w:lvlJc w:val="left"/>
      <w:pPr>
        <w:ind w:left="1440" w:hanging="360"/>
      </w:pPr>
      <w:rPr>
        <w:rFonts w:ascii="Courier New" w:hAnsi="Courier New" w:cs="SimSun" w:hint="default"/>
      </w:rPr>
    </w:lvl>
    <w:lvl w:ilvl="2" w:tplc="09BE2B48" w:tentative="1">
      <w:start w:val="1"/>
      <w:numFmt w:val="bullet"/>
      <w:lvlText w:val=""/>
      <w:lvlJc w:val="left"/>
      <w:pPr>
        <w:ind w:left="2160" w:hanging="360"/>
      </w:pPr>
      <w:rPr>
        <w:rFonts w:ascii="Wingdings" w:hAnsi="Wingdings" w:hint="default"/>
      </w:rPr>
    </w:lvl>
    <w:lvl w:ilvl="3" w:tplc="D6DA2C16" w:tentative="1">
      <w:start w:val="1"/>
      <w:numFmt w:val="bullet"/>
      <w:lvlText w:val=""/>
      <w:lvlJc w:val="left"/>
      <w:pPr>
        <w:ind w:left="2880" w:hanging="360"/>
      </w:pPr>
      <w:rPr>
        <w:rFonts w:ascii="Symbol" w:hAnsi="Symbol" w:hint="default"/>
      </w:rPr>
    </w:lvl>
    <w:lvl w:ilvl="4" w:tplc="C23647C4" w:tentative="1">
      <w:start w:val="1"/>
      <w:numFmt w:val="bullet"/>
      <w:lvlText w:val="o"/>
      <w:lvlJc w:val="left"/>
      <w:pPr>
        <w:ind w:left="3600" w:hanging="360"/>
      </w:pPr>
      <w:rPr>
        <w:rFonts w:ascii="Courier New" w:hAnsi="Courier New" w:cs="SimSun" w:hint="default"/>
      </w:rPr>
    </w:lvl>
    <w:lvl w:ilvl="5" w:tplc="AF40DED2" w:tentative="1">
      <w:start w:val="1"/>
      <w:numFmt w:val="bullet"/>
      <w:lvlText w:val=""/>
      <w:lvlJc w:val="left"/>
      <w:pPr>
        <w:ind w:left="4320" w:hanging="360"/>
      </w:pPr>
      <w:rPr>
        <w:rFonts w:ascii="Wingdings" w:hAnsi="Wingdings" w:hint="default"/>
      </w:rPr>
    </w:lvl>
    <w:lvl w:ilvl="6" w:tplc="CDFE1302" w:tentative="1">
      <w:start w:val="1"/>
      <w:numFmt w:val="bullet"/>
      <w:lvlText w:val=""/>
      <w:lvlJc w:val="left"/>
      <w:pPr>
        <w:ind w:left="5040" w:hanging="360"/>
      </w:pPr>
      <w:rPr>
        <w:rFonts w:ascii="Symbol" w:hAnsi="Symbol" w:hint="default"/>
      </w:rPr>
    </w:lvl>
    <w:lvl w:ilvl="7" w:tplc="85CC88BC" w:tentative="1">
      <w:start w:val="1"/>
      <w:numFmt w:val="bullet"/>
      <w:lvlText w:val="o"/>
      <w:lvlJc w:val="left"/>
      <w:pPr>
        <w:ind w:left="5760" w:hanging="360"/>
      </w:pPr>
      <w:rPr>
        <w:rFonts w:ascii="Courier New" w:hAnsi="Courier New" w:cs="SimSun" w:hint="default"/>
      </w:rPr>
    </w:lvl>
    <w:lvl w:ilvl="8" w:tplc="10A85598" w:tentative="1">
      <w:start w:val="1"/>
      <w:numFmt w:val="bullet"/>
      <w:lvlText w:val=""/>
      <w:lvlJc w:val="left"/>
      <w:pPr>
        <w:ind w:left="6480" w:hanging="360"/>
      </w:pPr>
      <w:rPr>
        <w:rFonts w:ascii="Wingdings" w:hAnsi="Wingdings" w:hint="default"/>
      </w:rPr>
    </w:lvl>
  </w:abstractNum>
  <w:abstractNum w:abstractNumId="34">
    <w:nsid w:val="6B1B43F1"/>
    <w:multiLevelType w:val="hybridMultilevel"/>
    <w:tmpl w:val="9C68E1AC"/>
    <w:lvl w:ilvl="0" w:tplc="11FC5F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1060BF"/>
    <w:multiLevelType w:val="hybridMultilevel"/>
    <w:tmpl w:val="A27CEC18"/>
    <w:lvl w:ilvl="0" w:tplc="B568CE82">
      <w:start w:val="1"/>
      <w:numFmt w:val="bullet"/>
      <w:lvlText w:val=""/>
      <w:lvlJc w:val="left"/>
      <w:pPr>
        <w:ind w:left="720" w:hanging="360"/>
      </w:pPr>
      <w:rPr>
        <w:rFonts w:ascii="Symbol" w:hAnsi="Symbol" w:cs="Symbol" w:hint="default"/>
      </w:rPr>
    </w:lvl>
    <w:lvl w:ilvl="1" w:tplc="06A6755A" w:tentative="1">
      <w:start w:val="1"/>
      <w:numFmt w:val="bullet"/>
      <w:lvlText w:val="o"/>
      <w:lvlJc w:val="left"/>
      <w:pPr>
        <w:ind w:left="1440" w:hanging="360"/>
      </w:pPr>
      <w:rPr>
        <w:rFonts w:ascii="Courier New" w:hAnsi="Courier New" w:cs="SimSun" w:hint="default"/>
      </w:rPr>
    </w:lvl>
    <w:lvl w:ilvl="2" w:tplc="7452E150" w:tentative="1">
      <w:start w:val="1"/>
      <w:numFmt w:val="bullet"/>
      <w:lvlText w:val=""/>
      <w:lvlJc w:val="left"/>
      <w:pPr>
        <w:ind w:left="2160" w:hanging="360"/>
      </w:pPr>
      <w:rPr>
        <w:rFonts w:ascii="Wingdings" w:hAnsi="Wingdings" w:cs="Courier New" w:hint="default"/>
      </w:rPr>
    </w:lvl>
    <w:lvl w:ilvl="3" w:tplc="3918AFB4" w:tentative="1">
      <w:start w:val="1"/>
      <w:numFmt w:val="bullet"/>
      <w:lvlText w:val=""/>
      <w:lvlJc w:val="left"/>
      <w:pPr>
        <w:ind w:left="2880" w:hanging="360"/>
      </w:pPr>
      <w:rPr>
        <w:rFonts w:ascii="Symbol" w:hAnsi="Symbol" w:cs="Symbol" w:hint="default"/>
      </w:rPr>
    </w:lvl>
    <w:lvl w:ilvl="4" w:tplc="0C1C1424" w:tentative="1">
      <w:start w:val="1"/>
      <w:numFmt w:val="bullet"/>
      <w:lvlText w:val="o"/>
      <w:lvlJc w:val="left"/>
      <w:pPr>
        <w:ind w:left="3600" w:hanging="360"/>
      </w:pPr>
      <w:rPr>
        <w:rFonts w:ascii="Courier New" w:hAnsi="Courier New" w:cs="SimSun" w:hint="default"/>
      </w:rPr>
    </w:lvl>
    <w:lvl w:ilvl="5" w:tplc="FCE22DB4" w:tentative="1">
      <w:start w:val="1"/>
      <w:numFmt w:val="bullet"/>
      <w:lvlText w:val=""/>
      <w:lvlJc w:val="left"/>
      <w:pPr>
        <w:ind w:left="4320" w:hanging="360"/>
      </w:pPr>
      <w:rPr>
        <w:rFonts w:ascii="Wingdings" w:hAnsi="Wingdings" w:cs="Courier New" w:hint="default"/>
      </w:rPr>
    </w:lvl>
    <w:lvl w:ilvl="6" w:tplc="B442C33A" w:tentative="1">
      <w:start w:val="1"/>
      <w:numFmt w:val="bullet"/>
      <w:lvlText w:val=""/>
      <w:lvlJc w:val="left"/>
      <w:pPr>
        <w:ind w:left="5040" w:hanging="360"/>
      </w:pPr>
      <w:rPr>
        <w:rFonts w:ascii="Symbol" w:hAnsi="Symbol" w:cs="Symbol" w:hint="default"/>
      </w:rPr>
    </w:lvl>
    <w:lvl w:ilvl="7" w:tplc="0D4ED312" w:tentative="1">
      <w:start w:val="1"/>
      <w:numFmt w:val="bullet"/>
      <w:lvlText w:val="o"/>
      <w:lvlJc w:val="left"/>
      <w:pPr>
        <w:ind w:left="5760" w:hanging="360"/>
      </w:pPr>
      <w:rPr>
        <w:rFonts w:ascii="Courier New" w:hAnsi="Courier New" w:cs="SimSun" w:hint="default"/>
      </w:rPr>
    </w:lvl>
    <w:lvl w:ilvl="8" w:tplc="09FC48D2" w:tentative="1">
      <w:start w:val="1"/>
      <w:numFmt w:val="bullet"/>
      <w:lvlText w:val=""/>
      <w:lvlJc w:val="left"/>
      <w:pPr>
        <w:ind w:left="6480" w:hanging="360"/>
      </w:pPr>
      <w:rPr>
        <w:rFonts w:ascii="Wingdings" w:hAnsi="Wingdings" w:cs="Courier New"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3"/>
  </w:num>
  <w:num w:numId="29">
    <w:abstractNumId w:val="29"/>
  </w:num>
  <w:num w:numId="30">
    <w:abstractNumId w:val="28"/>
  </w:num>
  <w:num w:numId="31">
    <w:abstractNumId w:val="35"/>
  </w:num>
  <w:num w:numId="32">
    <w:abstractNumId w:val="31"/>
  </w:num>
  <w:num w:numId="33">
    <w:abstractNumId w:val="32"/>
  </w:num>
  <w:num w:numId="34">
    <w:abstractNumId w:val="27"/>
  </w:num>
  <w:num w:numId="35">
    <w:abstractNumId w:val="3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CC"/>
    <w:rsid w:val="000966C0"/>
    <w:rsid w:val="00175BCC"/>
    <w:rsid w:val="00176F76"/>
    <w:rsid w:val="00183143"/>
    <w:rsid w:val="001C77D6"/>
    <w:rsid w:val="002A1A83"/>
    <w:rsid w:val="00422629"/>
    <w:rsid w:val="004C2156"/>
    <w:rsid w:val="004D7B07"/>
    <w:rsid w:val="00512AFD"/>
    <w:rsid w:val="00516E4C"/>
    <w:rsid w:val="005F41BA"/>
    <w:rsid w:val="00622A56"/>
    <w:rsid w:val="006E0751"/>
    <w:rsid w:val="006F31F3"/>
    <w:rsid w:val="007B0D4F"/>
    <w:rsid w:val="007C0F3D"/>
    <w:rsid w:val="007C378F"/>
    <w:rsid w:val="00820C4F"/>
    <w:rsid w:val="00861D86"/>
    <w:rsid w:val="008A21F8"/>
    <w:rsid w:val="008E6F8F"/>
    <w:rsid w:val="0090334A"/>
    <w:rsid w:val="0093766A"/>
    <w:rsid w:val="00976D1C"/>
    <w:rsid w:val="009774C0"/>
    <w:rsid w:val="00A439C4"/>
    <w:rsid w:val="00A552F2"/>
    <w:rsid w:val="00AF0F7F"/>
    <w:rsid w:val="00B1162E"/>
    <w:rsid w:val="00C6508A"/>
    <w:rsid w:val="00C85D26"/>
    <w:rsid w:val="00CB56B2"/>
    <w:rsid w:val="00CD3DAD"/>
    <w:rsid w:val="00CD4AA5"/>
    <w:rsid w:val="00D3126C"/>
    <w:rsid w:val="00DB11EA"/>
    <w:rsid w:val="00DC1BD4"/>
    <w:rsid w:val="00E05F0C"/>
    <w:rsid w:val="00E123A2"/>
    <w:rsid w:val="00F55063"/>
    <w:rsid w:val="00FC5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C8A5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widowControl w:val="0"/>
      <w:autoSpaceDE w:val="0"/>
      <w:autoSpaceDN w:val="0"/>
      <w:adjustRightInd w:val="0"/>
      <w:spacing w:line="240" w:lineRule="atLeast"/>
    </w:pPr>
    <w:rPr>
      <w:rFonts w:ascii="Helvetica" w:eastAsia="Times New Roman" w:hAnsi="Helvetica"/>
      <w:noProof/>
      <w:color w:val="000000"/>
      <w:sz w:val="24"/>
    </w:rPr>
  </w:style>
  <w:style w:type="character" w:styleId="Hyperlink">
    <w:name w:val="Hyperlink"/>
    <w:basedOn w:val="DefaultParagraphFont"/>
    <w:uiPriority w:val="99"/>
    <w:semiHidden/>
    <w:rPr>
      <w:color w:val="0000FF"/>
      <w:u w:val="single"/>
    </w:rPr>
  </w:style>
  <w:style w:type="paragraph" w:customStyle="1" w:styleId="Default">
    <w:name w:val="Default"/>
    <w:pPr>
      <w:autoSpaceDE w:val="0"/>
      <w:autoSpaceDN w:val="0"/>
      <w:adjustRightInd w:val="0"/>
    </w:pPr>
    <w:rPr>
      <w:rFonts w:ascii="Calibri" w:eastAsia="Calibri" w:hAnsi="Calibri"/>
      <w:color w:val="000000"/>
      <w:sz w:val="24"/>
      <w:lang w:val="en-GB"/>
    </w:rPr>
  </w:style>
  <w:style w:type="paragraph" w:styleId="ListParagraph">
    <w:name w:val="List Paragraph"/>
    <w:basedOn w:val="Normal"/>
    <w:uiPriority w:val="34"/>
    <w:qFormat/>
    <w:pPr>
      <w:spacing w:after="200" w:line="276" w:lineRule="auto"/>
      <w:ind w:left="720"/>
    </w:pPr>
    <w:rPr>
      <w:rFonts w:ascii="Calibri" w:eastAsia="Calibri" w:hAnsi="Calibri"/>
      <w:sz w:val="22"/>
    </w:rPr>
  </w:style>
  <w:style w:type="paragraph" w:customStyle="1" w:styleId="CcList">
    <w:name w:val="Cc List"/>
    <w:basedOn w:val="Normal"/>
    <w:pPr>
      <w:keepLines/>
      <w:spacing w:line="240" w:lineRule="atLeast"/>
    </w:pPr>
    <w:rPr>
      <w:rFonts w:ascii="Garamond" w:eastAsia="SimSun" w:hAnsi="Garamond"/>
      <w:kern w:val="18"/>
      <w:sz w:val="20"/>
      <w:lang w:eastAsia="zh-CN"/>
    </w:rPr>
  </w:style>
  <w:style w:type="paragraph" w:styleId="NormalWeb">
    <w:name w:val="Normal (Web)"/>
    <w:basedOn w:val="Normal"/>
    <w:semiHidden/>
    <w:pPr>
      <w:widowControl w:val="0"/>
      <w:autoSpaceDE w:val="0"/>
      <w:autoSpaceDN w:val="0"/>
      <w:adjustRightInd w:val="0"/>
      <w:spacing w:before="100" w:after="100" w:line="240" w:lineRule="atLeast"/>
    </w:pPr>
    <w:rPr>
      <w:rFonts w:ascii="Arial" w:eastAsia="Times New Roman" w:hAnsi="Arial"/>
      <w:noProof/>
      <w:color w:val="000000"/>
      <w:sz w:val="20"/>
    </w:rPr>
  </w:style>
  <w:style w:type="paragraph" w:styleId="CommentText">
    <w:name w:val="annotation text"/>
    <w:basedOn w:val="Normal"/>
    <w:link w:val="CommentTextChar"/>
    <w:uiPriority w:val="99"/>
    <w:unhideWhenUsed/>
    <w:rsid w:val="00C6508A"/>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C6508A"/>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01541">
      <w:bodyDiv w:val="1"/>
      <w:marLeft w:val="0"/>
      <w:marRight w:val="0"/>
      <w:marTop w:val="0"/>
      <w:marBottom w:val="0"/>
      <w:divBdr>
        <w:top w:val="none" w:sz="0" w:space="0" w:color="auto"/>
        <w:left w:val="none" w:sz="0" w:space="0" w:color="auto"/>
        <w:bottom w:val="none" w:sz="0" w:space="0" w:color="auto"/>
        <w:right w:val="none" w:sz="0" w:space="0" w:color="auto"/>
      </w:divBdr>
      <w:divsChild>
        <w:div w:id="552468536">
          <w:marLeft w:val="0"/>
          <w:marRight w:val="0"/>
          <w:marTop w:val="0"/>
          <w:marBottom w:val="0"/>
          <w:divBdr>
            <w:top w:val="none" w:sz="0" w:space="0" w:color="auto"/>
            <w:left w:val="none" w:sz="0" w:space="0" w:color="auto"/>
            <w:bottom w:val="none" w:sz="0" w:space="0" w:color="auto"/>
            <w:right w:val="none" w:sz="0" w:space="0" w:color="auto"/>
          </w:divBdr>
        </w:div>
        <w:div w:id="1602836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1497</Words>
  <Characters>8536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ATP</Company>
  <LinksUpToDate>false</LinksUpToDate>
  <CharactersWithSpaces>10013</CharactersWithSpaces>
  <SharedDoc>false</SharedDoc>
  <HLinks>
    <vt:vector size="6" baseType="variant">
      <vt:variant>
        <vt:i4>3276812</vt:i4>
      </vt:variant>
      <vt:variant>
        <vt:i4>2466</vt:i4>
      </vt:variant>
      <vt:variant>
        <vt:i4>1027</vt:i4>
      </vt:variant>
      <vt:variant>
        <vt:i4>1</vt:i4>
      </vt:variant>
      <vt:variant>
        <vt:lpwstr>:Harris signature.jpg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Scheib</dc:creator>
  <cp:lastModifiedBy>Microsoft Office User</cp:lastModifiedBy>
  <cp:revision>5</cp:revision>
  <cp:lastPrinted>2016-02-15T16:11:00Z</cp:lastPrinted>
  <dcterms:created xsi:type="dcterms:W3CDTF">2016-02-15T15:40:00Z</dcterms:created>
  <dcterms:modified xsi:type="dcterms:W3CDTF">2016-04-08T15:33:00Z</dcterms:modified>
</cp:coreProperties>
</file>